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05324" w14:textId="1C819BC2" w:rsidR="0056363B" w:rsidRDefault="00917846" w:rsidP="00917846">
      <w:pPr>
        <w:spacing w:after="0" w:line="240" w:lineRule="auto"/>
        <w:jc w:val="center"/>
        <w:rPr>
          <w:rFonts w:ascii="Times New Roman" w:hAnsi="Times New Roman" w:cs="Times New Roman"/>
          <w:sz w:val="24"/>
          <w:szCs w:val="24"/>
        </w:rPr>
      </w:pPr>
      <w:r>
        <w:rPr>
          <w:noProof/>
        </w:rPr>
        <w:drawing>
          <wp:inline distT="0" distB="0" distL="0" distR="0" wp14:anchorId="33411EFE" wp14:editId="2B32F81E">
            <wp:extent cx="1818100" cy="640080"/>
            <wp:effectExtent l="0" t="0" r="0" b="7620"/>
            <wp:docPr id="994165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165074" name=""/>
                    <pic:cNvPicPr/>
                  </pic:nvPicPr>
                  <pic:blipFill>
                    <a:blip r:embed="rId8"/>
                    <a:stretch>
                      <a:fillRect/>
                    </a:stretch>
                  </pic:blipFill>
                  <pic:spPr>
                    <a:xfrm>
                      <a:off x="0" y="0"/>
                      <a:ext cx="1818100" cy="640080"/>
                    </a:xfrm>
                    <a:prstGeom prst="rect">
                      <a:avLst/>
                    </a:prstGeom>
                  </pic:spPr>
                </pic:pic>
              </a:graphicData>
            </a:graphic>
          </wp:inline>
        </w:drawing>
      </w:r>
    </w:p>
    <w:p w14:paraId="54571D07" w14:textId="1095FDAB" w:rsidR="00FA3DA6" w:rsidRPr="00725CCC" w:rsidRDefault="00246003" w:rsidP="00FF49BB">
      <w:pPr>
        <w:spacing w:after="0" w:line="240" w:lineRule="auto"/>
        <w:jc w:val="center"/>
        <w:rPr>
          <w:rFonts w:ascii="Times New Roman" w:hAnsi="Times New Roman" w:cs="Times New Roman"/>
          <w:b/>
          <w:bCs/>
          <w:sz w:val="23"/>
          <w:szCs w:val="23"/>
        </w:rPr>
      </w:pPr>
      <w:r w:rsidRPr="00725CCC">
        <w:rPr>
          <w:rFonts w:ascii="Times New Roman" w:hAnsi="Times New Roman" w:cs="Times New Roman"/>
          <w:b/>
          <w:bCs/>
          <w:sz w:val="23"/>
          <w:szCs w:val="23"/>
        </w:rPr>
        <w:t>Title IX Coordinator Report</w:t>
      </w:r>
    </w:p>
    <w:p w14:paraId="2D70B960" w14:textId="053B9024" w:rsidR="00FA3DA6" w:rsidRPr="00725CCC" w:rsidRDefault="00DF055E" w:rsidP="00FF49BB">
      <w:pPr>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202</w:t>
      </w:r>
      <w:r w:rsidR="008C56BE">
        <w:rPr>
          <w:rFonts w:ascii="Times New Roman" w:hAnsi="Times New Roman" w:cs="Times New Roman"/>
          <w:b/>
          <w:bCs/>
          <w:sz w:val="23"/>
          <w:szCs w:val="23"/>
        </w:rPr>
        <w:t>5</w:t>
      </w:r>
      <w:r>
        <w:rPr>
          <w:rFonts w:ascii="Times New Roman" w:hAnsi="Times New Roman" w:cs="Times New Roman"/>
          <w:b/>
          <w:bCs/>
          <w:sz w:val="23"/>
          <w:szCs w:val="23"/>
        </w:rPr>
        <w:t>-202</w:t>
      </w:r>
      <w:r w:rsidR="008C56BE">
        <w:rPr>
          <w:rFonts w:ascii="Times New Roman" w:hAnsi="Times New Roman" w:cs="Times New Roman"/>
          <w:b/>
          <w:bCs/>
          <w:sz w:val="23"/>
          <w:szCs w:val="23"/>
        </w:rPr>
        <w:t>6</w:t>
      </w:r>
      <w:r w:rsidR="00246003" w:rsidRPr="00725CCC">
        <w:rPr>
          <w:rFonts w:ascii="Times New Roman" w:hAnsi="Times New Roman" w:cs="Times New Roman"/>
          <w:b/>
          <w:bCs/>
          <w:sz w:val="23"/>
          <w:szCs w:val="23"/>
        </w:rPr>
        <w:t xml:space="preserve"> Academic Year</w:t>
      </w:r>
    </w:p>
    <w:p w14:paraId="0EB6C1FD" w14:textId="7BD80C06" w:rsidR="00246003" w:rsidRPr="00725CCC" w:rsidRDefault="008C56BE" w:rsidP="00FF49BB">
      <w:pPr>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First</w:t>
      </w:r>
      <w:r w:rsidR="00555B9F">
        <w:rPr>
          <w:rFonts w:ascii="Times New Roman" w:hAnsi="Times New Roman" w:cs="Times New Roman"/>
          <w:b/>
          <w:bCs/>
          <w:sz w:val="23"/>
          <w:szCs w:val="23"/>
        </w:rPr>
        <w:t xml:space="preserve"> Quarter</w:t>
      </w:r>
    </w:p>
    <w:p w14:paraId="772C2EB1" w14:textId="77777777" w:rsidR="00FA3DA6" w:rsidRPr="007C78FA" w:rsidRDefault="00FA3DA6" w:rsidP="00EB25EA">
      <w:pPr>
        <w:spacing w:after="0" w:line="240" w:lineRule="auto"/>
        <w:rPr>
          <w:rFonts w:ascii="Times New Roman" w:hAnsi="Times New Roman" w:cs="Times New Roman"/>
          <w:sz w:val="12"/>
          <w:szCs w:val="12"/>
        </w:rPr>
      </w:pPr>
    </w:p>
    <w:p w14:paraId="7AA4642A" w14:textId="331F17E9" w:rsidR="00246003" w:rsidRPr="00AD4BBA" w:rsidRDefault="00246003" w:rsidP="00EB25EA">
      <w:pPr>
        <w:spacing w:after="0" w:line="240" w:lineRule="auto"/>
        <w:rPr>
          <w:rFonts w:ascii="Times New Roman" w:hAnsi="Times New Roman" w:cs="Times New Roman"/>
        </w:rPr>
      </w:pPr>
      <w:r w:rsidRPr="00AD4BBA">
        <w:rPr>
          <w:rFonts w:ascii="Times New Roman" w:hAnsi="Times New Roman" w:cs="Times New Roman"/>
        </w:rPr>
        <w:t xml:space="preserve">TO: </w:t>
      </w:r>
      <w:r w:rsidR="00FF49BB" w:rsidRPr="00AD4BBA">
        <w:rPr>
          <w:rFonts w:ascii="Times New Roman" w:hAnsi="Times New Roman" w:cs="Times New Roman"/>
        </w:rPr>
        <w:tab/>
      </w:r>
      <w:r w:rsidR="00FF49BB" w:rsidRPr="00AD4BBA">
        <w:rPr>
          <w:rFonts w:ascii="Times New Roman" w:hAnsi="Times New Roman" w:cs="Times New Roman"/>
        </w:rPr>
        <w:tab/>
      </w:r>
      <w:r w:rsidRPr="00AD4BBA">
        <w:rPr>
          <w:rFonts w:ascii="Times New Roman" w:hAnsi="Times New Roman" w:cs="Times New Roman"/>
        </w:rPr>
        <w:t xml:space="preserve">Dr. Abel Chávez, </w:t>
      </w:r>
      <w:r w:rsidR="00B24583" w:rsidRPr="00AD4BBA">
        <w:rPr>
          <w:rFonts w:ascii="Times New Roman" w:hAnsi="Times New Roman" w:cs="Times New Roman"/>
        </w:rPr>
        <w:t>President-Chief Executive Officer</w:t>
      </w:r>
    </w:p>
    <w:p w14:paraId="140F3945" w14:textId="08306BEC" w:rsidR="00246003" w:rsidRPr="00AD4BBA" w:rsidRDefault="00246003" w:rsidP="00EB25EA">
      <w:pPr>
        <w:spacing w:after="0" w:line="240" w:lineRule="auto"/>
        <w:rPr>
          <w:rFonts w:ascii="Times New Roman" w:hAnsi="Times New Roman" w:cs="Times New Roman"/>
        </w:rPr>
      </w:pPr>
      <w:r w:rsidRPr="00AD4BBA">
        <w:rPr>
          <w:rFonts w:ascii="Times New Roman" w:hAnsi="Times New Roman" w:cs="Times New Roman"/>
        </w:rPr>
        <w:t xml:space="preserve">FROM: </w:t>
      </w:r>
      <w:r w:rsidR="00FF49BB" w:rsidRPr="00AD4BBA">
        <w:rPr>
          <w:rFonts w:ascii="Times New Roman" w:hAnsi="Times New Roman" w:cs="Times New Roman"/>
        </w:rPr>
        <w:tab/>
      </w:r>
      <w:r w:rsidR="002D5191">
        <w:rPr>
          <w:rFonts w:ascii="Times New Roman" w:hAnsi="Times New Roman" w:cs="Times New Roman"/>
        </w:rPr>
        <w:t xml:space="preserve">Dr. </w:t>
      </w:r>
      <w:r w:rsidR="008223AD" w:rsidRPr="00AD4BBA">
        <w:rPr>
          <w:rFonts w:ascii="Times New Roman" w:hAnsi="Times New Roman" w:cs="Times New Roman"/>
        </w:rPr>
        <w:t>Guadalupe Marquez</w:t>
      </w:r>
      <w:r w:rsidRPr="00AD4BBA">
        <w:rPr>
          <w:rFonts w:ascii="Times New Roman" w:hAnsi="Times New Roman" w:cs="Times New Roman"/>
        </w:rPr>
        <w:t xml:space="preserve">, Title IX Coordinator </w:t>
      </w:r>
    </w:p>
    <w:p w14:paraId="318C763D" w14:textId="361D0E96" w:rsidR="00246003" w:rsidRPr="00AD4BBA" w:rsidRDefault="00246003" w:rsidP="00EB25EA">
      <w:pPr>
        <w:pBdr>
          <w:bottom w:val="single" w:sz="12" w:space="1" w:color="auto"/>
        </w:pBdr>
        <w:spacing w:after="0" w:line="240" w:lineRule="auto"/>
        <w:rPr>
          <w:rFonts w:ascii="Times New Roman" w:hAnsi="Times New Roman" w:cs="Times New Roman"/>
        </w:rPr>
      </w:pPr>
      <w:r w:rsidRPr="00AD4BBA">
        <w:rPr>
          <w:rFonts w:ascii="Times New Roman" w:hAnsi="Times New Roman" w:cs="Times New Roman"/>
        </w:rPr>
        <w:t xml:space="preserve">RE: </w:t>
      </w:r>
      <w:r w:rsidR="00FF49BB" w:rsidRPr="00AD4BBA">
        <w:rPr>
          <w:rFonts w:ascii="Times New Roman" w:hAnsi="Times New Roman" w:cs="Times New Roman"/>
        </w:rPr>
        <w:tab/>
      </w:r>
      <w:r w:rsidR="00FF49BB" w:rsidRPr="00AD4BBA">
        <w:rPr>
          <w:rFonts w:ascii="Times New Roman" w:hAnsi="Times New Roman" w:cs="Times New Roman"/>
        </w:rPr>
        <w:tab/>
      </w:r>
      <w:r w:rsidRPr="00AD4BBA">
        <w:rPr>
          <w:rFonts w:ascii="Times New Roman" w:hAnsi="Times New Roman" w:cs="Times New Roman"/>
        </w:rPr>
        <w:t xml:space="preserve">Title IX Coordinator Reporting Requirements under Tex. Educ. Code § 51.253(a) </w:t>
      </w:r>
    </w:p>
    <w:p w14:paraId="1784CCFD" w14:textId="77777777" w:rsidR="0064671F" w:rsidRPr="007C78FA" w:rsidRDefault="0064671F" w:rsidP="0041366F">
      <w:pPr>
        <w:spacing w:after="0" w:line="360" w:lineRule="auto"/>
        <w:rPr>
          <w:rFonts w:ascii="Times New Roman" w:hAnsi="Times New Roman" w:cs="Times New Roman"/>
          <w:sz w:val="8"/>
          <w:szCs w:val="8"/>
        </w:rPr>
      </w:pPr>
    </w:p>
    <w:p w14:paraId="28635D5A" w14:textId="690FA048" w:rsidR="00167895" w:rsidRPr="0041366F" w:rsidRDefault="00246003" w:rsidP="0041366F">
      <w:pPr>
        <w:spacing w:after="0" w:line="360" w:lineRule="auto"/>
        <w:rPr>
          <w:rFonts w:ascii="Times New Roman" w:hAnsi="Times New Roman" w:cs="Times New Roman"/>
        </w:rPr>
      </w:pPr>
      <w:r w:rsidRPr="0041366F">
        <w:rPr>
          <w:rFonts w:ascii="Times New Roman" w:hAnsi="Times New Roman" w:cs="Times New Roman"/>
        </w:rPr>
        <w:t xml:space="preserve">Under the Texas Education Code </w:t>
      </w:r>
      <w:r w:rsidR="001D76A9" w:rsidRPr="0041366F">
        <w:rPr>
          <w:rFonts w:ascii="Times New Roman" w:hAnsi="Times New Roman" w:cs="Times New Roman"/>
        </w:rPr>
        <w:t>(</w:t>
      </w:r>
      <w:r w:rsidRPr="0041366F">
        <w:rPr>
          <w:rFonts w:ascii="Times New Roman" w:hAnsi="Times New Roman" w:cs="Times New Roman"/>
        </w:rPr>
        <w:t>TEC</w:t>
      </w:r>
      <w:r w:rsidR="001D76A9" w:rsidRPr="0041366F">
        <w:rPr>
          <w:rFonts w:ascii="Times New Roman" w:hAnsi="Times New Roman" w:cs="Times New Roman"/>
        </w:rPr>
        <w:t>)</w:t>
      </w:r>
      <w:r w:rsidRPr="0041366F">
        <w:rPr>
          <w:rFonts w:ascii="Times New Roman" w:hAnsi="Times New Roman" w:cs="Times New Roman"/>
        </w:rPr>
        <w:t xml:space="preserve">, Section 51.253(a), </w:t>
      </w:r>
      <w:r w:rsidR="00816E32" w:rsidRPr="0041366F">
        <w:rPr>
          <w:rFonts w:ascii="Times New Roman" w:hAnsi="Times New Roman" w:cs="Times New Roman"/>
        </w:rPr>
        <w:t>Administrative</w:t>
      </w:r>
      <w:r w:rsidR="006E1AA2" w:rsidRPr="0041366F">
        <w:rPr>
          <w:rFonts w:ascii="Times New Roman" w:hAnsi="Times New Roman" w:cs="Times New Roman"/>
        </w:rPr>
        <w:t xml:space="preserve"> Reporting Requirements</w:t>
      </w:r>
      <w:r w:rsidR="00F50635" w:rsidRPr="0041366F">
        <w:rPr>
          <w:rFonts w:ascii="Times New Roman" w:hAnsi="Times New Roman" w:cs="Times New Roman"/>
        </w:rPr>
        <w:t>:</w:t>
      </w:r>
      <w:r w:rsidR="006E1AA2" w:rsidRPr="0041366F">
        <w:rPr>
          <w:rFonts w:ascii="Times New Roman" w:hAnsi="Times New Roman" w:cs="Times New Roman"/>
        </w:rPr>
        <w:t xml:space="preserve"> </w:t>
      </w:r>
      <w:r w:rsidR="00816E32" w:rsidRPr="0041366F">
        <w:rPr>
          <w:rFonts w:ascii="Times New Roman" w:hAnsi="Times New Roman" w:cs="Times New Roman"/>
        </w:rPr>
        <w:t xml:space="preserve"> </w:t>
      </w:r>
      <w:r w:rsidR="003F3D02" w:rsidRPr="0041366F">
        <w:rPr>
          <w:rFonts w:ascii="Times New Roman" w:hAnsi="Times New Roman" w:cs="Times New Roman"/>
        </w:rPr>
        <w:t xml:space="preserve">Not less than once every three months, the Title IX coordinator of a postsecondary educational institution shall submit to the institution’s </w:t>
      </w:r>
      <w:r w:rsidR="00D44100" w:rsidRPr="0041366F">
        <w:rPr>
          <w:rFonts w:ascii="Times New Roman" w:hAnsi="Times New Roman" w:cs="Times New Roman"/>
        </w:rPr>
        <w:t>C</w:t>
      </w:r>
      <w:r w:rsidR="003F3D02" w:rsidRPr="0041366F">
        <w:rPr>
          <w:rFonts w:ascii="Times New Roman" w:hAnsi="Times New Roman" w:cs="Times New Roman"/>
        </w:rPr>
        <w:t xml:space="preserve">hief </w:t>
      </w:r>
      <w:r w:rsidR="00D44100" w:rsidRPr="0041366F">
        <w:rPr>
          <w:rFonts w:ascii="Times New Roman" w:hAnsi="Times New Roman" w:cs="Times New Roman"/>
        </w:rPr>
        <w:t>E</w:t>
      </w:r>
      <w:r w:rsidR="003F3D02" w:rsidRPr="0041366F">
        <w:rPr>
          <w:rFonts w:ascii="Times New Roman" w:hAnsi="Times New Roman" w:cs="Times New Roman"/>
        </w:rPr>
        <w:t xml:space="preserve">xecutive </w:t>
      </w:r>
      <w:r w:rsidR="00D44100" w:rsidRPr="0041366F">
        <w:rPr>
          <w:rFonts w:ascii="Times New Roman" w:hAnsi="Times New Roman" w:cs="Times New Roman"/>
        </w:rPr>
        <w:t>O</w:t>
      </w:r>
      <w:r w:rsidR="003F3D02" w:rsidRPr="0041366F">
        <w:rPr>
          <w:rFonts w:ascii="Times New Roman" w:hAnsi="Times New Roman" w:cs="Times New Roman"/>
        </w:rPr>
        <w:t>fficer a written report on the reports received</w:t>
      </w:r>
      <w:r w:rsidR="00D776E2" w:rsidRPr="0041366F">
        <w:rPr>
          <w:rFonts w:ascii="Times New Roman" w:hAnsi="Times New Roman" w:cs="Times New Roman"/>
        </w:rPr>
        <w:t xml:space="preserve"> by Responsible Employees,</w:t>
      </w:r>
      <w:r w:rsidR="003F3D02" w:rsidRPr="0041366F">
        <w:rPr>
          <w:rFonts w:ascii="Times New Roman" w:hAnsi="Times New Roman" w:cs="Times New Roman"/>
        </w:rPr>
        <w:t xml:space="preserve"> under Section 51.252 (Reporting Required for Certain Incidents), </w:t>
      </w:r>
      <w:r w:rsidR="001132AE" w:rsidRPr="0041366F">
        <w:rPr>
          <w:rFonts w:ascii="Times New Roman" w:hAnsi="Times New Roman" w:cs="Times New Roman"/>
        </w:rPr>
        <w:t>regarding incidents of “sexual harassment,” “sexual assault,” “dating violence,” or “stalking</w:t>
      </w:r>
      <w:r w:rsidR="003E5FD8" w:rsidRPr="0041366F">
        <w:rPr>
          <w:rFonts w:ascii="Times New Roman" w:hAnsi="Times New Roman" w:cs="Times New Roman"/>
        </w:rPr>
        <w:t>,</w:t>
      </w:r>
      <w:r w:rsidR="001132AE" w:rsidRPr="0041366F">
        <w:rPr>
          <w:rFonts w:ascii="Times New Roman" w:hAnsi="Times New Roman" w:cs="Times New Roman"/>
        </w:rPr>
        <w:t>” as defined in the TEC, Section 51.251.</w:t>
      </w:r>
      <w:r w:rsidR="003E5FD8" w:rsidRPr="0041366F">
        <w:rPr>
          <w:rFonts w:ascii="Times New Roman" w:hAnsi="Times New Roman" w:cs="Times New Roman"/>
        </w:rPr>
        <w:t xml:space="preserve"> </w:t>
      </w:r>
    </w:p>
    <w:p w14:paraId="4C8071DA" w14:textId="540ACAF4" w:rsidR="00167895" w:rsidRPr="0041366F" w:rsidRDefault="00167895" w:rsidP="0041366F">
      <w:pPr>
        <w:spacing w:after="0" w:line="360" w:lineRule="auto"/>
        <w:rPr>
          <w:rFonts w:ascii="Times New Roman" w:hAnsi="Times New Roman" w:cs="Times New Roman"/>
        </w:rPr>
      </w:pPr>
      <w:r w:rsidRPr="0041366F">
        <w:rPr>
          <w:rFonts w:ascii="Times New Roman" w:hAnsi="Times New Roman" w:cs="Times New Roman"/>
        </w:rPr>
        <w:t>For the purposes of complying with the Title IX Coordinator reporting requirements under Section 51.253(a), the attached written report</w:t>
      </w:r>
      <w:r w:rsidRPr="0041366F">
        <w:rPr>
          <w:rStyle w:val="FootnoteReference"/>
          <w:rFonts w:ascii="Times New Roman" w:hAnsi="Times New Roman" w:cs="Times New Roman"/>
        </w:rPr>
        <w:footnoteReference w:id="1"/>
      </w:r>
      <w:r w:rsidRPr="0041366F">
        <w:rPr>
          <w:rFonts w:ascii="Times New Roman" w:hAnsi="Times New Roman" w:cs="Times New Roman"/>
        </w:rPr>
        <w:t xml:space="preserve"> (Appendix A, Table 1) includes </w:t>
      </w:r>
      <w:r w:rsidR="0095329E" w:rsidRPr="0041366F">
        <w:rPr>
          <w:rFonts w:ascii="Times New Roman" w:hAnsi="Times New Roman" w:cs="Times New Roman"/>
        </w:rPr>
        <w:t>all</w:t>
      </w:r>
      <w:r w:rsidRPr="0041366F">
        <w:rPr>
          <w:rFonts w:ascii="Times New Roman" w:hAnsi="Times New Roman" w:cs="Times New Roman"/>
        </w:rPr>
        <w:t xml:space="preserve"> the following required reporting information</w:t>
      </w:r>
      <w:r w:rsidR="005C1830" w:rsidRPr="0041366F">
        <w:rPr>
          <w:rFonts w:ascii="Times New Roman" w:hAnsi="Times New Roman" w:cs="Times New Roman"/>
        </w:rPr>
        <w:t xml:space="preserve"> for</w:t>
      </w:r>
      <w:r w:rsidR="00B365F3">
        <w:rPr>
          <w:rFonts w:ascii="Times New Roman" w:hAnsi="Times New Roman" w:cs="Times New Roman"/>
        </w:rPr>
        <w:t xml:space="preserve"> the</w:t>
      </w:r>
      <w:r w:rsidR="005C1830" w:rsidRPr="0041366F">
        <w:rPr>
          <w:rFonts w:ascii="Times New Roman" w:hAnsi="Times New Roman" w:cs="Times New Roman"/>
        </w:rPr>
        <w:t xml:space="preserve"> </w:t>
      </w:r>
      <w:r w:rsidR="005C1830" w:rsidRPr="0041366F">
        <w:rPr>
          <w:rFonts w:ascii="Times New Roman" w:hAnsi="Times New Roman" w:cs="Times New Roman"/>
          <w:b/>
          <w:bCs/>
        </w:rPr>
        <w:t xml:space="preserve">First Quarter </w:t>
      </w:r>
      <w:r w:rsidR="005C1830" w:rsidRPr="00B365F3">
        <w:rPr>
          <w:rFonts w:ascii="Times New Roman" w:hAnsi="Times New Roman" w:cs="Times New Roman"/>
        </w:rPr>
        <w:t xml:space="preserve">of </w:t>
      </w:r>
      <w:r w:rsidR="005C1830" w:rsidRPr="0041366F">
        <w:rPr>
          <w:rFonts w:ascii="Times New Roman" w:hAnsi="Times New Roman" w:cs="Times New Roman"/>
          <w:b/>
          <w:bCs/>
        </w:rPr>
        <w:t>2025-2026 academic year;</w:t>
      </w:r>
      <w:r w:rsidR="005C1830" w:rsidRPr="0041366F">
        <w:rPr>
          <w:rFonts w:ascii="Times New Roman" w:hAnsi="Times New Roman" w:cs="Times New Roman"/>
        </w:rPr>
        <w:t xml:space="preserve"> </w:t>
      </w:r>
      <w:r w:rsidR="005C1830" w:rsidRPr="0041366F">
        <w:rPr>
          <w:rFonts w:ascii="Times New Roman" w:hAnsi="Times New Roman" w:cs="Times New Roman"/>
          <w:b/>
          <w:bCs/>
        </w:rPr>
        <w:t>August 1</w:t>
      </w:r>
      <w:r w:rsidR="0092082E" w:rsidRPr="0041366F">
        <w:rPr>
          <w:rFonts w:ascii="Times New Roman" w:hAnsi="Times New Roman" w:cs="Times New Roman"/>
          <w:b/>
          <w:bCs/>
        </w:rPr>
        <w:t>5</w:t>
      </w:r>
      <w:r w:rsidR="005C1830" w:rsidRPr="0041366F">
        <w:rPr>
          <w:rFonts w:ascii="Times New Roman" w:hAnsi="Times New Roman" w:cs="Times New Roman"/>
          <w:b/>
          <w:bCs/>
        </w:rPr>
        <w:t>, 2025, through November 14, 2025</w:t>
      </w:r>
      <w:r w:rsidRPr="0041366F">
        <w:rPr>
          <w:rFonts w:ascii="Times New Roman" w:hAnsi="Times New Roman" w:cs="Times New Roman"/>
        </w:rPr>
        <w:t xml:space="preserve">: </w:t>
      </w:r>
    </w:p>
    <w:p w14:paraId="39F0E70C" w14:textId="1738B0F7" w:rsidR="003F3D02" w:rsidRPr="0041366F" w:rsidRDefault="003F3D02" w:rsidP="0041366F">
      <w:pPr>
        <w:spacing w:after="0" w:line="360" w:lineRule="auto"/>
        <w:ind w:left="576"/>
        <w:rPr>
          <w:rFonts w:ascii="Times New Roman" w:hAnsi="Times New Roman" w:cs="Times New Roman"/>
        </w:rPr>
      </w:pPr>
      <w:r w:rsidRPr="0041366F">
        <w:rPr>
          <w:rFonts w:ascii="Times New Roman" w:hAnsi="Times New Roman" w:cs="Times New Roman"/>
        </w:rPr>
        <w:t>(1)</w:t>
      </w:r>
      <w:r w:rsidR="00F50635" w:rsidRPr="0041366F">
        <w:rPr>
          <w:rFonts w:ascii="Times New Roman" w:hAnsi="Times New Roman" w:cs="Times New Roman"/>
        </w:rPr>
        <w:t xml:space="preserve"> </w:t>
      </w:r>
      <w:r w:rsidRPr="0041366F">
        <w:rPr>
          <w:rFonts w:ascii="Times New Roman" w:hAnsi="Times New Roman" w:cs="Times New Roman"/>
        </w:rPr>
        <w:t>the investigation of those reports;</w:t>
      </w:r>
      <w:r w:rsidR="00AF26DF" w:rsidRPr="0041366F">
        <w:rPr>
          <w:rFonts w:ascii="Times New Roman" w:hAnsi="Times New Roman" w:cs="Times New Roman"/>
        </w:rPr>
        <w:t xml:space="preserve"> and</w:t>
      </w:r>
    </w:p>
    <w:p w14:paraId="69DC81D6" w14:textId="3BFF7463" w:rsidR="003F3D02" w:rsidRPr="0041366F" w:rsidRDefault="003F3D02" w:rsidP="0041366F">
      <w:pPr>
        <w:spacing w:after="0" w:line="360" w:lineRule="auto"/>
        <w:ind w:left="576"/>
        <w:rPr>
          <w:rFonts w:ascii="Times New Roman" w:hAnsi="Times New Roman" w:cs="Times New Roman"/>
        </w:rPr>
      </w:pPr>
      <w:r w:rsidRPr="0041366F">
        <w:rPr>
          <w:rFonts w:ascii="Times New Roman" w:hAnsi="Times New Roman" w:cs="Times New Roman"/>
        </w:rPr>
        <w:t>(2)</w:t>
      </w:r>
      <w:r w:rsidR="00F50635" w:rsidRPr="0041366F">
        <w:rPr>
          <w:rFonts w:ascii="Times New Roman" w:hAnsi="Times New Roman" w:cs="Times New Roman"/>
        </w:rPr>
        <w:t xml:space="preserve"> </w:t>
      </w:r>
      <w:r w:rsidRPr="0041366F">
        <w:rPr>
          <w:rFonts w:ascii="Times New Roman" w:hAnsi="Times New Roman" w:cs="Times New Roman"/>
        </w:rPr>
        <w:t>the disposition, if any, of any disciplinary processes arising from those reports; and</w:t>
      </w:r>
    </w:p>
    <w:p w14:paraId="00F1ECD0" w14:textId="5220C485" w:rsidR="001E2FE6" w:rsidRPr="0041366F" w:rsidRDefault="003F3D02" w:rsidP="0041366F">
      <w:pPr>
        <w:spacing w:after="0" w:line="360" w:lineRule="auto"/>
        <w:ind w:left="576"/>
        <w:rPr>
          <w:rFonts w:ascii="Times New Roman" w:hAnsi="Times New Roman" w:cs="Times New Roman"/>
        </w:rPr>
      </w:pPr>
      <w:r w:rsidRPr="0041366F">
        <w:rPr>
          <w:rFonts w:ascii="Times New Roman" w:hAnsi="Times New Roman" w:cs="Times New Roman"/>
        </w:rPr>
        <w:t>(3)</w:t>
      </w:r>
      <w:r w:rsidR="00F50635" w:rsidRPr="0041366F">
        <w:rPr>
          <w:rFonts w:ascii="Times New Roman" w:hAnsi="Times New Roman" w:cs="Times New Roman"/>
        </w:rPr>
        <w:t xml:space="preserve"> </w:t>
      </w:r>
      <w:r w:rsidRPr="0041366F">
        <w:rPr>
          <w:rFonts w:ascii="Times New Roman" w:hAnsi="Times New Roman" w:cs="Times New Roman"/>
        </w:rPr>
        <w:t>the reports for which the institution determined not to initiate a disciplinary process, if any.</w:t>
      </w:r>
    </w:p>
    <w:p w14:paraId="2E26833F" w14:textId="58986668" w:rsidR="0041366F" w:rsidRPr="0041366F" w:rsidRDefault="0041366F" w:rsidP="0041366F">
      <w:pPr>
        <w:spacing w:after="0" w:line="360" w:lineRule="auto"/>
        <w:rPr>
          <w:rFonts w:ascii="Times New Roman" w:hAnsi="Times New Roman" w:cs="Times New Roman"/>
        </w:rPr>
      </w:pPr>
      <w:r w:rsidRPr="0041366F">
        <w:rPr>
          <w:rFonts w:ascii="Times New Roman" w:hAnsi="Times New Roman" w:cs="Times New Roman"/>
        </w:rPr>
        <w:t>To assist Dr. Abel Chávez, President of Our Lady of the Lake University, in preparing for the Chief Executive Officer reporting obligations under TEC § 51.253(c), Appendix A, Table 2 is provided for informational purposes and reflects disciplinary actions taken pursuant to TEC § 51.255 during the applicable reporting period. This information is intended to support</w:t>
      </w:r>
      <w:r w:rsidR="003D26A5">
        <w:rPr>
          <w:rFonts w:ascii="Times New Roman" w:hAnsi="Times New Roman" w:cs="Times New Roman"/>
        </w:rPr>
        <w:t xml:space="preserve"> the</w:t>
      </w:r>
      <w:r w:rsidRPr="0041366F">
        <w:rPr>
          <w:rFonts w:ascii="Times New Roman" w:hAnsi="Times New Roman" w:cs="Times New Roman"/>
        </w:rPr>
        <w:t xml:space="preserve"> President’s required </w:t>
      </w:r>
      <w:r w:rsidR="003D26A5">
        <w:rPr>
          <w:rFonts w:ascii="Times New Roman" w:hAnsi="Times New Roman" w:cs="Times New Roman"/>
        </w:rPr>
        <w:t xml:space="preserve">annual </w:t>
      </w:r>
      <w:r w:rsidRPr="0041366F">
        <w:rPr>
          <w:rFonts w:ascii="Times New Roman" w:hAnsi="Times New Roman" w:cs="Times New Roman"/>
        </w:rPr>
        <w:t>report under § 51.253(c).</w:t>
      </w:r>
      <w:r w:rsidR="003D26A5">
        <w:rPr>
          <w:rFonts w:ascii="Times New Roman" w:hAnsi="Times New Roman" w:cs="Times New Roman"/>
        </w:rPr>
        <w:t xml:space="preserve"> </w:t>
      </w:r>
    </w:p>
    <w:p w14:paraId="1685DE5B" w14:textId="77777777" w:rsidR="0041366F" w:rsidRPr="003C4926" w:rsidRDefault="0041366F" w:rsidP="0041366F">
      <w:pPr>
        <w:spacing w:after="0" w:line="360" w:lineRule="auto"/>
        <w:rPr>
          <w:rFonts w:ascii="Times New Roman" w:hAnsi="Times New Roman" w:cs="Times New Roman"/>
          <w:sz w:val="4"/>
          <w:szCs w:val="4"/>
        </w:rPr>
      </w:pPr>
    </w:p>
    <w:p w14:paraId="78299043" w14:textId="68FB75A4" w:rsidR="0041366F" w:rsidRPr="0041366F" w:rsidRDefault="0041366F" w:rsidP="0041366F">
      <w:pPr>
        <w:spacing w:after="0" w:line="360" w:lineRule="auto"/>
        <w:rPr>
          <w:rFonts w:ascii="Times New Roman" w:hAnsi="Times New Roman" w:cs="Times New Roman"/>
        </w:rPr>
      </w:pPr>
      <w:r w:rsidRPr="0041366F">
        <w:rPr>
          <w:rFonts w:ascii="Times New Roman" w:hAnsi="Times New Roman" w:cs="Times New Roman"/>
        </w:rPr>
        <w:t>Appendix B is included as a preliminary summary of the data contained in Appendix A to facilitate preparation for the President’s annual report under TEC § 51.253(c). The summary data in Appendix B is organized according to the reporting categories set forth in § 51.253(c). Individual reports may be applicable to multiple reporting categories; therefore, summary figures may not total identically.</w:t>
      </w:r>
    </w:p>
    <w:p w14:paraId="1FE15228" w14:textId="6D904FAD" w:rsidR="00B806A0" w:rsidRPr="00AD4BBA" w:rsidRDefault="00CA28B1" w:rsidP="007C78FA">
      <w:pPr>
        <w:spacing w:after="0" w:line="360" w:lineRule="auto"/>
        <w:rPr>
          <w:rFonts w:ascii="Times New Roman" w:hAnsi="Times New Roman" w:cs="Times New Roman"/>
        </w:rPr>
      </w:pPr>
      <w:r w:rsidRPr="00AD4BBA">
        <w:rPr>
          <w:rFonts w:ascii="Times New Roman" w:hAnsi="Times New Roman" w:cs="Times New Roman"/>
        </w:rPr>
        <w:t xml:space="preserve">Note: </w:t>
      </w:r>
      <w:r w:rsidR="00B806A0" w:rsidRPr="00AD4BBA">
        <w:rPr>
          <w:rFonts w:ascii="Times New Roman" w:hAnsi="Times New Roman" w:cs="Times New Roman"/>
        </w:rPr>
        <w:t xml:space="preserve">Any additional reports received by the Title IX Coordinator that do not meet the required reporting criteria in TEC Sec. 51.252 have been omitted for the compliance purposes of this specific </w:t>
      </w:r>
      <w:r w:rsidRPr="00AD4BBA">
        <w:rPr>
          <w:rFonts w:ascii="Times New Roman" w:hAnsi="Times New Roman" w:cs="Times New Roman"/>
        </w:rPr>
        <w:t>report.</w:t>
      </w:r>
      <w:r w:rsidRPr="00AD4BBA">
        <w:rPr>
          <w:rStyle w:val="FootnoteReference"/>
          <w:rFonts w:ascii="Times New Roman" w:hAnsi="Times New Roman" w:cs="Times New Roman"/>
        </w:rPr>
        <w:footnoteReference w:id="2"/>
      </w:r>
    </w:p>
    <w:p w14:paraId="22010E94" w14:textId="2C8970FE" w:rsidR="00CB502D" w:rsidRPr="00AD4BBA" w:rsidRDefault="00CB502D" w:rsidP="00977485">
      <w:pPr>
        <w:spacing w:after="0" w:line="240" w:lineRule="auto"/>
        <w:jc w:val="center"/>
        <w:rPr>
          <w:rFonts w:ascii="Times New Roman" w:hAnsi="Times New Roman" w:cs="Times New Roman"/>
          <w:b/>
          <w:bCs/>
        </w:rPr>
      </w:pPr>
      <w:r w:rsidRPr="00AD4BBA">
        <w:rPr>
          <w:rFonts w:ascii="Times New Roman" w:hAnsi="Times New Roman" w:cs="Times New Roman"/>
          <w:b/>
          <w:bCs/>
        </w:rPr>
        <w:lastRenderedPageBreak/>
        <w:t>Appendix A</w:t>
      </w:r>
    </w:p>
    <w:p w14:paraId="1D990B1A" w14:textId="53AE9783" w:rsidR="00CB502D" w:rsidRPr="00AD4BBA" w:rsidRDefault="00CB502D" w:rsidP="00C800E4">
      <w:pPr>
        <w:spacing w:after="0" w:line="240" w:lineRule="auto"/>
        <w:jc w:val="center"/>
        <w:rPr>
          <w:rFonts w:ascii="Times New Roman" w:hAnsi="Times New Roman" w:cs="Times New Roman"/>
          <w:b/>
          <w:bCs/>
        </w:rPr>
      </w:pPr>
      <w:r w:rsidRPr="00AD4BBA">
        <w:rPr>
          <w:rFonts w:ascii="Times New Roman" w:hAnsi="Times New Roman" w:cs="Times New Roman"/>
          <w:b/>
          <w:bCs/>
        </w:rPr>
        <w:t>Title IX Coordinator Report</w:t>
      </w:r>
    </w:p>
    <w:p w14:paraId="134B94ED" w14:textId="5744C05D" w:rsidR="00CB502D" w:rsidRPr="00AD4BBA" w:rsidRDefault="00406D14" w:rsidP="00C800E4">
      <w:pPr>
        <w:spacing w:after="0" w:line="240" w:lineRule="auto"/>
        <w:jc w:val="center"/>
        <w:rPr>
          <w:rFonts w:ascii="Times New Roman" w:hAnsi="Times New Roman" w:cs="Times New Roman"/>
          <w:b/>
          <w:bCs/>
        </w:rPr>
      </w:pPr>
      <w:r>
        <w:rPr>
          <w:rFonts w:ascii="Times New Roman" w:hAnsi="Times New Roman" w:cs="Times New Roman"/>
          <w:b/>
          <w:bCs/>
        </w:rPr>
        <w:t>2025-2026</w:t>
      </w:r>
      <w:r w:rsidR="00CB502D" w:rsidRPr="00AD4BBA">
        <w:rPr>
          <w:rFonts w:ascii="Times New Roman" w:hAnsi="Times New Roman" w:cs="Times New Roman"/>
          <w:b/>
          <w:bCs/>
        </w:rPr>
        <w:t xml:space="preserve"> Academic Year</w:t>
      </w:r>
    </w:p>
    <w:p w14:paraId="1A73AFC1" w14:textId="5DE587F2" w:rsidR="00CB502D" w:rsidRPr="00AD4BBA" w:rsidRDefault="00406D14" w:rsidP="00977485">
      <w:pPr>
        <w:spacing w:after="40" w:line="240" w:lineRule="auto"/>
        <w:jc w:val="center"/>
        <w:rPr>
          <w:rFonts w:ascii="Times New Roman" w:hAnsi="Times New Roman" w:cs="Times New Roman"/>
          <w:b/>
          <w:bCs/>
        </w:rPr>
      </w:pPr>
      <w:r>
        <w:rPr>
          <w:rFonts w:ascii="Times New Roman" w:hAnsi="Times New Roman" w:cs="Times New Roman"/>
          <w:b/>
          <w:bCs/>
        </w:rPr>
        <w:t xml:space="preserve">First </w:t>
      </w:r>
      <w:r w:rsidR="00AC6C61">
        <w:rPr>
          <w:rFonts w:ascii="Times New Roman" w:hAnsi="Times New Roman" w:cs="Times New Roman"/>
          <w:b/>
          <w:bCs/>
        </w:rPr>
        <w:t>Quarter</w:t>
      </w:r>
    </w:p>
    <w:p w14:paraId="4E9FD6D7" w14:textId="5AB56502" w:rsidR="005C1830" w:rsidRDefault="00CB502D" w:rsidP="0092082E">
      <w:pPr>
        <w:spacing w:after="0" w:line="360" w:lineRule="auto"/>
        <w:jc w:val="center"/>
        <w:rPr>
          <w:rFonts w:ascii="Times New Roman" w:hAnsi="Times New Roman" w:cs="Times New Roman"/>
          <w:b/>
          <w:bCs/>
          <w:sz w:val="23"/>
          <w:szCs w:val="23"/>
        </w:rPr>
      </w:pPr>
      <w:r w:rsidRPr="00AD4BBA">
        <w:rPr>
          <w:rFonts w:ascii="Times New Roman" w:hAnsi="Times New Roman" w:cs="Times New Roman"/>
          <w:b/>
          <w:bCs/>
        </w:rPr>
        <w:t>Table 1</w:t>
      </w:r>
      <w:r w:rsidR="0092082E">
        <w:rPr>
          <w:rFonts w:ascii="Times New Roman" w:hAnsi="Times New Roman" w:cs="Times New Roman"/>
          <w:b/>
          <w:bCs/>
        </w:rPr>
        <w:t xml:space="preserve">. </w:t>
      </w:r>
      <w:r w:rsidR="005C1830">
        <w:rPr>
          <w:rFonts w:ascii="Times New Roman" w:hAnsi="Times New Roman" w:cs="Times New Roman"/>
          <w:b/>
          <w:bCs/>
          <w:sz w:val="23"/>
          <w:szCs w:val="23"/>
        </w:rPr>
        <w:t xml:space="preserve">Employee submitted reports as per Tex. Ed. Code </w:t>
      </w:r>
      <w:r w:rsidR="005C1830">
        <w:t xml:space="preserve">§ </w:t>
      </w:r>
      <w:r w:rsidR="005C1830">
        <w:rPr>
          <w:rFonts w:ascii="Times New Roman" w:hAnsi="Times New Roman" w:cs="Times New Roman"/>
          <w:b/>
          <w:bCs/>
          <w:sz w:val="23"/>
          <w:szCs w:val="23"/>
        </w:rPr>
        <w:t>51.252</w:t>
      </w:r>
    </w:p>
    <w:tbl>
      <w:tblPr>
        <w:tblStyle w:val="TableGrid"/>
        <w:tblW w:w="9535" w:type="dxa"/>
        <w:tblLayout w:type="fixed"/>
        <w:tblLook w:val="04A0" w:firstRow="1" w:lastRow="0" w:firstColumn="1" w:lastColumn="0" w:noHBand="0" w:noVBand="1"/>
      </w:tblPr>
      <w:tblGrid>
        <w:gridCol w:w="1075"/>
        <w:gridCol w:w="1350"/>
        <w:gridCol w:w="1800"/>
        <w:gridCol w:w="3510"/>
        <w:gridCol w:w="1800"/>
      </w:tblGrid>
      <w:tr w:rsidR="00EE3B16" w:rsidRPr="00AD4BBA" w14:paraId="34A97042" w14:textId="77777777" w:rsidTr="00317245">
        <w:tc>
          <w:tcPr>
            <w:tcW w:w="1075" w:type="dxa"/>
            <w:shd w:val="clear" w:color="auto" w:fill="D9D9D9" w:themeFill="background1" w:themeFillShade="D9"/>
          </w:tcPr>
          <w:p w14:paraId="1C7F8962" w14:textId="6C7FF614" w:rsidR="00415DAC" w:rsidRPr="00AD4BBA" w:rsidRDefault="00415DAC" w:rsidP="004D0206">
            <w:pPr>
              <w:jc w:val="center"/>
              <w:rPr>
                <w:rFonts w:ascii="Times New Roman" w:hAnsi="Times New Roman" w:cs="Times New Roman"/>
                <w:b/>
                <w:bCs/>
              </w:rPr>
            </w:pPr>
            <w:r w:rsidRPr="00AD4BBA">
              <w:rPr>
                <w:rFonts w:ascii="Times New Roman" w:hAnsi="Times New Roman" w:cs="Times New Roman"/>
                <w:b/>
                <w:bCs/>
              </w:rPr>
              <w:t>Report Number</w:t>
            </w:r>
          </w:p>
        </w:tc>
        <w:tc>
          <w:tcPr>
            <w:tcW w:w="1350" w:type="dxa"/>
            <w:shd w:val="clear" w:color="auto" w:fill="D9D9D9" w:themeFill="background1" w:themeFillShade="D9"/>
          </w:tcPr>
          <w:p w14:paraId="63C623A8" w14:textId="40D008F7" w:rsidR="00415DAC" w:rsidRPr="00AD4BBA" w:rsidRDefault="004A51B5" w:rsidP="004D0206">
            <w:pPr>
              <w:jc w:val="center"/>
              <w:rPr>
                <w:rFonts w:ascii="Times New Roman" w:hAnsi="Times New Roman" w:cs="Times New Roman"/>
                <w:b/>
                <w:bCs/>
              </w:rPr>
            </w:pPr>
            <w:r w:rsidRPr="00AD4BBA">
              <w:rPr>
                <w:rFonts w:ascii="Times New Roman" w:hAnsi="Times New Roman" w:cs="Times New Roman"/>
                <w:b/>
                <w:bCs/>
              </w:rPr>
              <w:t>Date Received</w:t>
            </w:r>
          </w:p>
        </w:tc>
        <w:tc>
          <w:tcPr>
            <w:tcW w:w="1800" w:type="dxa"/>
            <w:shd w:val="clear" w:color="auto" w:fill="D9D9D9" w:themeFill="background1" w:themeFillShade="D9"/>
          </w:tcPr>
          <w:p w14:paraId="4352C091" w14:textId="78F8C393" w:rsidR="00415DAC" w:rsidRPr="00AD4BBA" w:rsidRDefault="004A51B5" w:rsidP="004D0206">
            <w:pPr>
              <w:jc w:val="center"/>
              <w:rPr>
                <w:rFonts w:ascii="Times New Roman" w:hAnsi="Times New Roman" w:cs="Times New Roman"/>
                <w:b/>
                <w:bCs/>
              </w:rPr>
            </w:pPr>
            <w:r w:rsidRPr="00AD4BBA">
              <w:rPr>
                <w:rFonts w:ascii="Times New Roman" w:hAnsi="Times New Roman" w:cs="Times New Roman"/>
                <w:b/>
                <w:bCs/>
              </w:rPr>
              <w:t xml:space="preserve">Alleged Conduct Reported by Employees Under </w:t>
            </w:r>
            <w:r w:rsidR="00070F69" w:rsidRPr="00AD4BBA">
              <w:rPr>
                <w:rFonts w:ascii="Times New Roman" w:hAnsi="Times New Roman" w:cs="Times New Roman"/>
                <w:b/>
                <w:bCs/>
              </w:rPr>
              <w:t>§ 51.252</w:t>
            </w:r>
          </w:p>
        </w:tc>
        <w:tc>
          <w:tcPr>
            <w:tcW w:w="3510" w:type="dxa"/>
            <w:shd w:val="clear" w:color="auto" w:fill="D9D9D9" w:themeFill="background1" w:themeFillShade="D9"/>
          </w:tcPr>
          <w:p w14:paraId="58B26107" w14:textId="16F85318" w:rsidR="00415DAC" w:rsidRPr="00AD4BBA" w:rsidRDefault="00070F69" w:rsidP="004D0206">
            <w:pPr>
              <w:jc w:val="center"/>
              <w:rPr>
                <w:rFonts w:ascii="Times New Roman" w:hAnsi="Times New Roman" w:cs="Times New Roman"/>
                <w:b/>
                <w:bCs/>
              </w:rPr>
            </w:pPr>
            <w:r w:rsidRPr="00AD4BBA">
              <w:rPr>
                <w:rFonts w:ascii="Times New Roman" w:hAnsi="Times New Roman" w:cs="Times New Roman"/>
                <w:b/>
                <w:bCs/>
              </w:rPr>
              <w:t>Investigation Status</w:t>
            </w:r>
          </w:p>
        </w:tc>
        <w:tc>
          <w:tcPr>
            <w:tcW w:w="1800" w:type="dxa"/>
            <w:shd w:val="clear" w:color="auto" w:fill="D9D9D9" w:themeFill="background1" w:themeFillShade="D9"/>
          </w:tcPr>
          <w:p w14:paraId="4E412807" w14:textId="06EE7107" w:rsidR="00415DAC" w:rsidRPr="00AD4BBA" w:rsidRDefault="00070F69" w:rsidP="004D0206">
            <w:pPr>
              <w:jc w:val="center"/>
              <w:rPr>
                <w:rFonts w:ascii="Times New Roman" w:hAnsi="Times New Roman" w:cs="Times New Roman"/>
                <w:b/>
                <w:bCs/>
              </w:rPr>
            </w:pPr>
            <w:r w:rsidRPr="00AD4BBA">
              <w:rPr>
                <w:rFonts w:ascii="Times New Roman" w:hAnsi="Times New Roman" w:cs="Times New Roman"/>
                <w:b/>
                <w:bCs/>
              </w:rPr>
              <w:t>Disciplinary Status</w:t>
            </w:r>
          </w:p>
        </w:tc>
      </w:tr>
      <w:tr w:rsidR="00EE3B16" w:rsidRPr="00AD4BBA" w14:paraId="6FFF33AD" w14:textId="77777777" w:rsidTr="00317245">
        <w:tc>
          <w:tcPr>
            <w:tcW w:w="1075" w:type="dxa"/>
          </w:tcPr>
          <w:p w14:paraId="6344540A" w14:textId="27EB4614" w:rsidR="00415DAC" w:rsidRPr="00AD4BBA" w:rsidRDefault="00CB0EB3" w:rsidP="00070F69">
            <w:pPr>
              <w:rPr>
                <w:rFonts w:ascii="Times New Roman" w:hAnsi="Times New Roman" w:cs="Times New Roman"/>
              </w:rPr>
            </w:pPr>
            <w:r w:rsidRPr="00AD4BBA">
              <w:rPr>
                <w:rFonts w:ascii="Times New Roman" w:hAnsi="Times New Roman" w:cs="Times New Roman"/>
              </w:rPr>
              <w:t>1</w:t>
            </w:r>
          </w:p>
        </w:tc>
        <w:tc>
          <w:tcPr>
            <w:tcW w:w="1350" w:type="dxa"/>
          </w:tcPr>
          <w:p w14:paraId="05FD6D87" w14:textId="77777777" w:rsidR="00415DAC" w:rsidRPr="00AD4BBA" w:rsidRDefault="00415DAC" w:rsidP="00070F69">
            <w:pPr>
              <w:rPr>
                <w:rFonts w:ascii="Times New Roman" w:hAnsi="Times New Roman" w:cs="Times New Roman"/>
              </w:rPr>
            </w:pPr>
          </w:p>
          <w:p w14:paraId="4F58E916" w14:textId="4AC44070" w:rsidR="005A0FFB" w:rsidRPr="00AD4BBA" w:rsidRDefault="006A405A" w:rsidP="00070F69">
            <w:pPr>
              <w:rPr>
                <w:rFonts w:ascii="Times New Roman" w:hAnsi="Times New Roman" w:cs="Times New Roman"/>
              </w:rPr>
            </w:pPr>
            <w:r>
              <w:rPr>
                <w:rFonts w:ascii="Times New Roman" w:hAnsi="Times New Roman" w:cs="Times New Roman"/>
              </w:rPr>
              <w:t>8/27/2025</w:t>
            </w:r>
          </w:p>
        </w:tc>
        <w:tc>
          <w:tcPr>
            <w:tcW w:w="1800" w:type="dxa"/>
          </w:tcPr>
          <w:p w14:paraId="2EF6FF2A" w14:textId="77777777" w:rsidR="000F0CE3" w:rsidRPr="00AD4BBA" w:rsidRDefault="000F0CE3" w:rsidP="00070F69">
            <w:pPr>
              <w:rPr>
                <w:rFonts w:ascii="Times New Roman" w:hAnsi="Times New Roman" w:cs="Times New Roman"/>
              </w:rPr>
            </w:pPr>
          </w:p>
          <w:p w14:paraId="20F2C896" w14:textId="60DC6CFD" w:rsidR="00415DAC" w:rsidRPr="00AD4BBA" w:rsidRDefault="007C10E2" w:rsidP="00070F69">
            <w:pPr>
              <w:rPr>
                <w:rFonts w:ascii="Times New Roman" w:hAnsi="Times New Roman" w:cs="Times New Roman"/>
              </w:rPr>
            </w:pPr>
            <w:r w:rsidRPr="00AD4BBA">
              <w:rPr>
                <w:rFonts w:ascii="Times New Roman" w:hAnsi="Times New Roman" w:cs="Times New Roman"/>
              </w:rPr>
              <w:t xml:space="preserve">Sexual </w:t>
            </w:r>
            <w:r w:rsidR="00E16F01">
              <w:rPr>
                <w:rFonts w:ascii="Times New Roman" w:hAnsi="Times New Roman" w:cs="Times New Roman"/>
              </w:rPr>
              <w:t>Assault</w:t>
            </w:r>
          </w:p>
        </w:tc>
        <w:tc>
          <w:tcPr>
            <w:tcW w:w="3510" w:type="dxa"/>
          </w:tcPr>
          <w:p w14:paraId="75251FC1" w14:textId="77777777" w:rsidR="007C10E2" w:rsidRPr="00AD4BBA" w:rsidRDefault="007C10E2" w:rsidP="007C10E2">
            <w:pPr>
              <w:rPr>
                <w:rFonts w:ascii="Times New Roman" w:hAnsi="Times New Roman" w:cs="Times New Roman"/>
              </w:rPr>
            </w:pPr>
            <w:r w:rsidRPr="00AD4BBA">
              <w:rPr>
                <w:rFonts w:ascii="Times New Roman" w:hAnsi="Times New Roman" w:cs="Times New Roman"/>
              </w:rPr>
              <w:t xml:space="preserve">Administrative Closure: </w:t>
            </w:r>
          </w:p>
          <w:p w14:paraId="2C4027D3" w14:textId="2F59647D" w:rsidR="007C10E2" w:rsidRPr="00AD4BBA" w:rsidRDefault="007C10E2" w:rsidP="007C10E2">
            <w:pPr>
              <w:rPr>
                <w:rFonts w:ascii="Times New Roman" w:hAnsi="Times New Roman" w:cs="Times New Roman"/>
              </w:rPr>
            </w:pPr>
            <w:r w:rsidRPr="00AD4BBA">
              <w:rPr>
                <w:rFonts w:ascii="Times New Roman" w:hAnsi="Times New Roman" w:cs="Times New Roman"/>
              </w:rPr>
              <w:t xml:space="preserve">Initial </w:t>
            </w:r>
            <w:r w:rsidR="00651E47" w:rsidRPr="00AD4BBA">
              <w:rPr>
                <w:rFonts w:ascii="Times New Roman" w:hAnsi="Times New Roman" w:cs="Times New Roman"/>
              </w:rPr>
              <w:t>a</w:t>
            </w:r>
            <w:r w:rsidRPr="00AD4BBA">
              <w:rPr>
                <w:rFonts w:ascii="Times New Roman" w:hAnsi="Times New Roman" w:cs="Times New Roman"/>
              </w:rPr>
              <w:t xml:space="preserve">ssessment </w:t>
            </w:r>
          </w:p>
          <w:p w14:paraId="489F85CC" w14:textId="0796313B" w:rsidR="007C10E2" w:rsidRPr="00AD4BBA" w:rsidRDefault="00651E47" w:rsidP="00E16F01">
            <w:pPr>
              <w:rPr>
                <w:rFonts w:ascii="Times New Roman" w:hAnsi="Times New Roman" w:cs="Times New Roman"/>
              </w:rPr>
            </w:pPr>
            <w:r w:rsidRPr="00AD4BBA">
              <w:rPr>
                <w:rFonts w:ascii="Times New Roman" w:hAnsi="Times New Roman" w:cs="Times New Roman"/>
              </w:rPr>
              <w:t>c</w:t>
            </w:r>
            <w:r w:rsidR="007C10E2" w:rsidRPr="00AD4BBA">
              <w:rPr>
                <w:rFonts w:ascii="Times New Roman" w:hAnsi="Times New Roman" w:cs="Times New Roman"/>
              </w:rPr>
              <w:t>oncluded;</w:t>
            </w:r>
            <w:r w:rsidR="00180602" w:rsidRPr="00AD4BBA">
              <w:rPr>
                <w:rFonts w:ascii="Times New Roman" w:hAnsi="Times New Roman" w:cs="Times New Roman"/>
              </w:rPr>
              <w:t xml:space="preserve"> </w:t>
            </w:r>
            <w:r w:rsidR="00E16F01">
              <w:rPr>
                <w:rFonts w:ascii="Times New Roman" w:hAnsi="Times New Roman" w:cs="Times New Roman"/>
              </w:rPr>
              <w:t>Supported Measures; No Jurisdiction</w:t>
            </w:r>
          </w:p>
          <w:p w14:paraId="1D05E2EF" w14:textId="18A51974" w:rsidR="00367D4D" w:rsidRPr="007F7DD9" w:rsidRDefault="00DE046A" w:rsidP="00D90C88">
            <w:pPr>
              <w:rPr>
                <w:rFonts w:ascii="Times New Roman" w:hAnsi="Times New Roman" w:cs="Times New Roman"/>
                <w:sz w:val="10"/>
                <w:szCs w:val="10"/>
              </w:rPr>
            </w:pPr>
            <w:r w:rsidRPr="00AD4BBA">
              <w:rPr>
                <w:rFonts w:ascii="Times New Roman" w:hAnsi="Times New Roman" w:cs="Times New Roman"/>
              </w:rPr>
              <w:t xml:space="preserve"> </w:t>
            </w:r>
          </w:p>
        </w:tc>
        <w:tc>
          <w:tcPr>
            <w:tcW w:w="1800" w:type="dxa"/>
          </w:tcPr>
          <w:p w14:paraId="4626EA1C" w14:textId="77777777" w:rsidR="00C800E4" w:rsidRPr="00AD4BBA" w:rsidRDefault="00C800E4" w:rsidP="00C800E4">
            <w:pPr>
              <w:rPr>
                <w:rFonts w:ascii="Times New Roman" w:hAnsi="Times New Roman" w:cs="Times New Roman"/>
              </w:rPr>
            </w:pPr>
            <w:r w:rsidRPr="00AD4BBA">
              <w:rPr>
                <w:rFonts w:ascii="Times New Roman" w:hAnsi="Times New Roman" w:cs="Times New Roman"/>
              </w:rPr>
              <w:t>Disciplinary Process:</w:t>
            </w:r>
          </w:p>
          <w:p w14:paraId="05DFA665" w14:textId="5DF00372" w:rsidR="00415DAC" w:rsidRPr="00AD4BBA" w:rsidRDefault="00C800E4" w:rsidP="00C800E4">
            <w:pPr>
              <w:rPr>
                <w:rFonts w:ascii="Times New Roman" w:hAnsi="Times New Roman" w:cs="Times New Roman"/>
              </w:rPr>
            </w:pPr>
            <w:r w:rsidRPr="00AD4BBA">
              <w:rPr>
                <w:rFonts w:ascii="Times New Roman" w:hAnsi="Times New Roman" w:cs="Times New Roman"/>
              </w:rPr>
              <w:t>Not Applicable</w:t>
            </w:r>
          </w:p>
        </w:tc>
      </w:tr>
      <w:tr w:rsidR="00781C68" w:rsidRPr="00AD4BBA" w14:paraId="099DBD08" w14:textId="77777777" w:rsidTr="00317245">
        <w:tc>
          <w:tcPr>
            <w:tcW w:w="1075" w:type="dxa"/>
          </w:tcPr>
          <w:p w14:paraId="74DDB235" w14:textId="573E2D15" w:rsidR="00781C68" w:rsidRPr="00AD4BBA" w:rsidRDefault="00C043E1" w:rsidP="00070F69">
            <w:pPr>
              <w:rPr>
                <w:rFonts w:ascii="Times New Roman" w:hAnsi="Times New Roman" w:cs="Times New Roman"/>
              </w:rPr>
            </w:pPr>
            <w:r w:rsidRPr="00AD4BBA">
              <w:rPr>
                <w:rFonts w:ascii="Times New Roman" w:hAnsi="Times New Roman" w:cs="Times New Roman"/>
              </w:rPr>
              <w:t>2*</w:t>
            </w:r>
          </w:p>
        </w:tc>
        <w:tc>
          <w:tcPr>
            <w:tcW w:w="1350" w:type="dxa"/>
          </w:tcPr>
          <w:p w14:paraId="780A98C1" w14:textId="6FC593DF" w:rsidR="00781C68" w:rsidRPr="00AD4BBA" w:rsidRDefault="0090399B" w:rsidP="00070F69">
            <w:pPr>
              <w:rPr>
                <w:rFonts w:ascii="Times New Roman" w:hAnsi="Times New Roman" w:cs="Times New Roman"/>
              </w:rPr>
            </w:pPr>
            <w:r>
              <w:rPr>
                <w:rFonts w:ascii="Times New Roman" w:hAnsi="Times New Roman" w:cs="Times New Roman"/>
              </w:rPr>
              <w:t>9/3/2025</w:t>
            </w:r>
          </w:p>
        </w:tc>
        <w:tc>
          <w:tcPr>
            <w:tcW w:w="1800" w:type="dxa"/>
          </w:tcPr>
          <w:p w14:paraId="49932DE8" w14:textId="31127585" w:rsidR="00781C68" w:rsidRPr="00AD4BBA" w:rsidRDefault="00CB3C52" w:rsidP="00070F69">
            <w:pPr>
              <w:rPr>
                <w:rFonts w:ascii="Times New Roman" w:hAnsi="Times New Roman" w:cs="Times New Roman"/>
              </w:rPr>
            </w:pPr>
            <w:r>
              <w:rPr>
                <w:rFonts w:ascii="Times New Roman" w:hAnsi="Times New Roman" w:cs="Times New Roman"/>
              </w:rPr>
              <w:t xml:space="preserve">Sexual Harassment </w:t>
            </w:r>
          </w:p>
        </w:tc>
        <w:tc>
          <w:tcPr>
            <w:tcW w:w="3510" w:type="dxa"/>
            <w:shd w:val="clear" w:color="auto" w:fill="auto"/>
          </w:tcPr>
          <w:p w14:paraId="29A67FD7" w14:textId="77777777" w:rsidR="009C7E3C" w:rsidRPr="00AD4BBA" w:rsidRDefault="009C7E3C" w:rsidP="009C7E3C">
            <w:pPr>
              <w:rPr>
                <w:rFonts w:ascii="Times New Roman" w:hAnsi="Times New Roman" w:cs="Times New Roman"/>
              </w:rPr>
            </w:pPr>
            <w:r w:rsidRPr="00AD4BBA">
              <w:rPr>
                <w:rFonts w:ascii="Times New Roman" w:hAnsi="Times New Roman" w:cs="Times New Roman"/>
              </w:rPr>
              <w:t xml:space="preserve">Administrative Closure: </w:t>
            </w:r>
          </w:p>
          <w:p w14:paraId="73833431" w14:textId="77777777" w:rsidR="009C7E3C" w:rsidRPr="00AD4BBA" w:rsidRDefault="009C7E3C" w:rsidP="009C7E3C">
            <w:pPr>
              <w:rPr>
                <w:rFonts w:ascii="Times New Roman" w:hAnsi="Times New Roman" w:cs="Times New Roman"/>
              </w:rPr>
            </w:pPr>
            <w:r w:rsidRPr="00AD4BBA">
              <w:rPr>
                <w:rFonts w:ascii="Times New Roman" w:hAnsi="Times New Roman" w:cs="Times New Roman"/>
              </w:rPr>
              <w:t xml:space="preserve">Initial assessment </w:t>
            </w:r>
          </w:p>
          <w:p w14:paraId="62078321" w14:textId="76F8B141" w:rsidR="00666F36" w:rsidRPr="00AD4BBA" w:rsidRDefault="009C7E3C" w:rsidP="009C7E3C">
            <w:pPr>
              <w:rPr>
                <w:rFonts w:ascii="Times New Roman" w:hAnsi="Times New Roman" w:cs="Times New Roman"/>
              </w:rPr>
            </w:pPr>
            <w:proofErr w:type="gramStart"/>
            <w:r w:rsidRPr="00AD4BBA">
              <w:rPr>
                <w:rFonts w:ascii="Times New Roman" w:hAnsi="Times New Roman" w:cs="Times New Roman"/>
              </w:rPr>
              <w:t>concluded;</w:t>
            </w:r>
            <w:proofErr w:type="gramEnd"/>
            <w:r w:rsidRPr="00AD4BBA">
              <w:rPr>
                <w:rFonts w:ascii="Times New Roman" w:hAnsi="Times New Roman" w:cs="Times New Roman"/>
              </w:rPr>
              <w:t xml:space="preserve"> </w:t>
            </w:r>
            <w:r w:rsidR="00666F36" w:rsidRPr="00AD4BBA">
              <w:rPr>
                <w:rFonts w:ascii="Times New Roman" w:hAnsi="Times New Roman" w:cs="Times New Roman"/>
              </w:rPr>
              <w:t>Complainant</w:t>
            </w:r>
          </w:p>
          <w:p w14:paraId="553E624D" w14:textId="77777777" w:rsidR="00666F36" w:rsidRPr="00AD4BBA" w:rsidRDefault="00666F36" w:rsidP="00666F36">
            <w:pPr>
              <w:rPr>
                <w:rFonts w:ascii="Times New Roman" w:hAnsi="Times New Roman" w:cs="Times New Roman"/>
              </w:rPr>
            </w:pPr>
            <w:r w:rsidRPr="00AD4BBA">
              <w:rPr>
                <w:rFonts w:ascii="Times New Roman" w:hAnsi="Times New Roman" w:cs="Times New Roman"/>
              </w:rPr>
              <w:t>Requested Not to</w:t>
            </w:r>
          </w:p>
          <w:p w14:paraId="38DDF5FD" w14:textId="77777777" w:rsidR="00781C68" w:rsidRDefault="00666F36" w:rsidP="00B368D3">
            <w:pPr>
              <w:rPr>
                <w:rFonts w:ascii="Times New Roman" w:hAnsi="Times New Roman" w:cs="Times New Roman"/>
              </w:rPr>
            </w:pPr>
            <w:r w:rsidRPr="00AD4BBA">
              <w:rPr>
                <w:rFonts w:ascii="Times New Roman" w:hAnsi="Times New Roman" w:cs="Times New Roman"/>
              </w:rPr>
              <w:t>Investigate</w:t>
            </w:r>
          </w:p>
          <w:p w14:paraId="2E54F89F" w14:textId="3BF36837" w:rsidR="009305EA" w:rsidRPr="007F7DD9" w:rsidRDefault="009305EA" w:rsidP="00B368D3">
            <w:pPr>
              <w:rPr>
                <w:rFonts w:ascii="Times New Roman" w:hAnsi="Times New Roman" w:cs="Times New Roman"/>
                <w:sz w:val="10"/>
                <w:szCs w:val="10"/>
              </w:rPr>
            </w:pPr>
          </w:p>
        </w:tc>
        <w:tc>
          <w:tcPr>
            <w:tcW w:w="1800" w:type="dxa"/>
          </w:tcPr>
          <w:p w14:paraId="0FBB3317" w14:textId="77777777" w:rsidR="008064E3" w:rsidRPr="00AD4BBA" w:rsidRDefault="008064E3" w:rsidP="008064E3">
            <w:pPr>
              <w:rPr>
                <w:rFonts w:ascii="Times New Roman" w:hAnsi="Times New Roman" w:cs="Times New Roman"/>
              </w:rPr>
            </w:pPr>
            <w:r w:rsidRPr="00AD4BBA">
              <w:rPr>
                <w:rFonts w:ascii="Times New Roman" w:hAnsi="Times New Roman" w:cs="Times New Roman"/>
              </w:rPr>
              <w:t>Disciplinary Process:</w:t>
            </w:r>
          </w:p>
          <w:p w14:paraId="0CD2AF5A" w14:textId="1BA3B3F4" w:rsidR="00781C68" w:rsidRPr="00AD4BBA" w:rsidRDefault="008064E3" w:rsidP="008064E3">
            <w:pPr>
              <w:rPr>
                <w:rFonts w:ascii="Times New Roman" w:hAnsi="Times New Roman" w:cs="Times New Roman"/>
              </w:rPr>
            </w:pPr>
            <w:r w:rsidRPr="00AD4BBA">
              <w:rPr>
                <w:rFonts w:ascii="Times New Roman" w:hAnsi="Times New Roman" w:cs="Times New Roman"/>
              </w:rPr>
              <w:t>Not Applicable</w:t>
            </w:r>
          </w:p>
        </w:tc>
      </w:tr>
      <w:tr w:rsidR="00EE3B16" w:rsidRPr="00AD4BBA" w14:paraId="03DFB7CA" w14:textId="77777777" w:rsidTr="00317245">
        <w:tc>
          <w:tcPr>
            <w:tcW w:w="1075" w:type="dxa"/>
          </w:tcPr>
          <w:p w14:paraId="2C6E5C86" w14:textId="51455888" w:rsidR="00415DAC" w:rsidRPr="00AD4BBA" w:rsidRDefault="00A460D6" w:rsidP="00070F69">
            <w:pPr>
              <w:rPr>
                <w:rFonts w:ascii="Times New Roman" w:hAnsi="Times New Roman" w:cs="Times New Roman"/>
              </w:rPr>
            </w:pPr>
            <w:r w:rsidRPr="00AD4BBA">
              <w:rPr>
                <w:rFonts w:ascii="Times New Roman" w:hAnsi="Times New Roman" w:cs="Times New Roman"/>
              </w:rPr>
              <w:t>3</w:t>
            </w:r>
          </w:p>
        </w:tc>
        <w:tc>
          <w:tcPr>
            <w:tcW w:w="1350" w:type="dxa"/>
          </w:tcPr>
          <w:p w14:paraId="20E05114" w14:textId="4B10742A" w:rsidR="00FA7256" w:rsidRPr="00AD4BBA" w:rsidRDefault="000C5FDA" w:rsidP="00070F69">
            <w:pPr>
              <w:rPr>
                <w:rFonts w:ascii="Times New Roman" w:hAnsi="Times New Roman" w:cs="Times New Roman"/>
              </w:rPr>
            </w:pPr>
            <w:r>
              <w:rPr>
                <w:rFonts w:ascii="Times New Roman" w:hAnsi="Times New Roman" w:cs="Times New Roman"/>
              </w:rPr>
              <w:t>9/4/2025</w:t>
            </w:r>
          </w:p>
        </w:tc>
        <w:tc>
          <w:tcPr>
            <w:tcW w:w="1800" w:type="dxa"/>
          </w:tcPr>
          <w:p w14:paraId="41BA4F84" w14:textId="77777777" w:rsidR="000F0CE3" w:rsidRPr="00AD4BBA" w:rsidRDefault="000F0CE3" w:rsidP="00070F69">
            <w:pPr>
              <w:rPr>
                <w:rFonts w:ascii="Times New Roman" w:hAnsi="Times New Roman" w:cs="Times New Roman"/>
              </w:rPr>
            </w:pPr>
          </w:p>
          <w:p w14:paraId="58934248" w14:textId="5D66D985" w:rsidR="00415DAC" w:rsidRPr="00AD4BBA" w:rsidRDefault="00BA0054" w:rsidP="00070F69">
            <w:pPr>
              <w:rPr>
                <w:rFonts w:ascii="Times New Roman" w:hAnsi="Times New Roman" w:cs="Times New Roman"/>
              </w:rPr>
            </w:pPr>
            <w:r>
              <w:rPr>
                <w:rFonts w:ascii="Times New Roman" w:hAnsi="Times New Roman" w:cs="Times New Roman"/>
              </w:rPr>
              <w:t>Dating Violence</w:t>
            </w:r>
            <w:r w:rsidR="008F74F9" w:rsidRPr="00AD4BBA">
              <w:rPr>
                <w:rFonts w:ascii="Times New Roman" w:hAnsi="Times New Roman" w:cs="Times New Roman"/>
              </w:rPr>
              <w:t xml:space="preserve"> </w:t>
            </w:r>
          </w:p>
        </w:tc>
        <w:tc>
          <w:tcPr>
            <w:tcW w:w="3510" w:type="dxa"/>
            <w:shd w:val="clear" w:color="auto" w:fill="auto"/>
          </w:tcPr>
          <w:p w14:paraId="1F806428" w14:textId="77777777" w:rsidR="00BA0054" w:rsidRPr="00AD4BBA" w:rsidRDefault="00BA0054" w:rsidP="00BA0054">
            <w:pPr>
              <w:rPr>
                <w:rFonts w:ascii="Times New Roman" w:hAnsi="Times New Roman" w:cs="Times New Roman"/>
              </w:rPr>
            </w:pPr>
            <w:r w:rsidRPr="00AD4BBA">
              <w:rPr>
                <w:rFonts w:ascii="Times New Roman" w:hAnsi="Times New Roman" w:cs="Times New Roman"/>
              </w:rPr>
              <w:t xml:space="preserve">Administrative Closure: </w:t>
            </w:r>
          </w:p>
          <w:p w14:paraId="1B8F0F27" w14:textId="77777777" w:rsidR="00BA0054" w:rsidRPr="00AD4BBA" w:rsidRDefault="00BA0054" w:rsidP="00BA0054">
            <w:pPr>
              <w:rPr>
                <w:rFonts w:ascii="Times New Roman" w:hAnsi="Times New Roman" w:cs="Times New Roman"/>
              </w:rPr>
            </w:pPr>
            <w:r w:rsidRPr="00AD4BBA">
              <w:rPr>
                <w:rFonts w:ascii="Times New Roman" w:hAnsi="Times New Roman" w:cs="Times New Roman"/>
              </w:rPr>
              <w:t xml:space="preserve">Initial Assessment </w:t>
            </w:r>
          </w:p>
          <w:p w14:paraId="5A44FC9F" w14:textId="7A8951FE" w:rsidR="00BA0054" w:rsidRPr="00AD4BBA" w:rsidRDefault="00BA0054" w:rsidP="00BA0054">
            <w:pPr>
              <w:rPr>
                <w:rFonts w:ascii="Times New Roman" w:hAnsi="Times New Roman" w:cs="Times New Roman"/>
              </w:rPr>
            </w:pPr>
            <w:r w:rsidRPr="00AD4BBA">
              <w:rPr>
                <w:rFonts w:ascii="Times New Roman" w:hAnsi="Times New Roman" w:cs="Times New Roman"/>
              </w:rPr>
              <w:t xml:space="preserve">Concluded; </w:t>
            </w:r>
            <w:r>
              <w:rPr>
                <w:rFonts w:ascii="Times New Roman" w:hAnsi="Times New Roman" w:cs="Times New Roman"/>
              </w:rPr>
              <w:t xml:space="preserve">Supported Measures; </w:t>
            </w:r>
            <w:r w:rsidRPr="00AD4BBA">
              <w:rPr>
                <w:rFonts w:ascii="Times New Roman" w:hAnsi="Times New Roman" w:cs="Times New Roman"/>
              </w:rPr>
              <w:t>No Jurisdiction</w:t>
            </w:r>
          </w:p>
          <w:p w14:paraId="2462B214" w14:textId="38D0681D" w:rsidR="00367D4D" w:rsidRPr="007F7DD9" w:rsidRDefault="00367D4D" w:rsidP="00547FEC">
            <w:pPr>
              <w:rPr>
                <w:rFonts w:ascii="Times New Roman" w:hAnsi="Times New Roman" w:cs="Times New Roman"/>
                <w:sz w:val="10"/>
                <w:szCs w:val="10"/>
              </w:rPr>
            </w:pPr>
          </w:p>
        </w:tc>
        <w:tc>
          <w:tcPr>
            <w:tcW w:w="1800" w:type="dxa"/>
          </w:tcPr>
          <w:p w14:paraId="548A2284" w14:textId="77777777" w:rsidR="0023559B" w:rsidRPr="00AD4BBA" w:rsidRDefault="0023559B" w:rsidP="0023559B">
            <w:pPr>
              <w:rPr>
                <w:rFonts w:ascii="Times New Roman" w:hAnsi="Times New Roman" w:cs="Times New Roman"/>
              </w:rPr>
            </w:pPr>
            <w:r w:rsidRPr="00AD4BBA">
              <w:rPr>
                <w:rFonts w:ascii="Times New Roman" w:hAnsi="Times New Roman" w:cs="Times New Roman"/>
              </w:rPr>
              <w:t>Disciplinary Process:</w:t>
            </w:r>
          </w:p>
          <w:p w14:paraId="79566EA5" w14:textId="525B1544" w:rsidR="00415DAC" w:rsidRPr="00AD4BBA" w:rsidRDefault="0023559B" w:rsidP="0023559B">
            <w:pPr>
              <w:rPr>
                <w:rFonts w:ascii="Times New Roman" w:hAnsi="Times New Roman" w:cs="Times New Roman"/>
              </w:rPr>
            </w:pPr>
            <w:r w:rsidRPr="00AD4BBA">
              <w:rPr>
                <w:rFonts w:ascii="Times New Roman" w:hAnsi="Times New Roman" w:cs="Times New Roman"/>
              </w:rPr>
              <w:t>Not Applicable</w:t>
            </w:r>
          </w:p>
        </w:tc>
      </w:tr>
      <w:tr w:rsidR="00CD284C" w:rsidRPr="00AD4BBA" w14:paraId="2851AE37" w14:textId="77777777" w:rsidTr="00317245">
        <w:tc>
          <w:tcPr>
            <w:tcW w:w="1075" w:type="dxa"/>
          </w:tcPr>
          <w:p w14:paraId="432F1697" w14:textId="396F782D" w:rsidR="00CD284C" w:rsidRPr="00AD4BBA" w:rsidRDefault="00CD284C" w:rsidP="00070F69">
            <w:pPr>
              <w:rPr>
                <w:rFonts w:ascii="Times New Roman" w:hAnsi="Times New Roman" w:cs="Times New Roman"/>
              </w:rPr>
            </w:pPr>
            <w:r w:rsidRPr="00AD4BBA">
              <w:rPr>
                <w:rFonts w:ascii="Times New Roman" w:hAnsi="Times New Roman" w:cs="Times New Roman"/>
              </w:rPr>
              <w:t>4</w:t>
            </w:r>
          </w:p>
        </w:tc>
        <w:tc>
          <w:tcPr>
            <w:tcW w:w="1350" w:type="dxa"/>
          </w:tcPr>
          <w:p w14:paraId="00827A1F" w14:textId="048618C1" w:rsidR="00CD284C" w:rsidRPr="00AD4BBA" w:rsidRDefault="002555ED" w:rsidP="00070F69">
            <w:pPr>
              <w:rPr>
                <w:rFonts w:ascii="Times New Roman" w:hAnsi="Times New Roman" w:cs="Times New Roman"/>
              </w:rPr>
            </w:pPr>
            <w:r>
              <w:rPr>
                <w:rFonts w:ascii="Times New Roman" w:hAnsi="Times New Roman" w:cs="Times New Roman"/>
              </w:rPr>
              <w:t>10/10/2025</w:t>
            </w:r>
          </w:p>
        </w:tc>
        <w:tc>
          <w:tcPr>
            <w:tcW w:w="1800" w:type="dxa"/>
          </w:tcPr>
          <w:p w14:paraId="2893B3E1" w14:textId="01E5B0B4" w:rsidR="00CD284C" w:rsidRPr="00AD4BBA" w:rsidRDefault="002F6AF4" w:rsidP="00070F69">
            <w:pPr>
              <w:rPr>
                <w:rFonts w:ascii="Times New Roman" w:hAnsi="Times New Roman" w:cs="Times New Roman"/>
              </w:rPr>
            </w:pPr>
            <w:r>
              <w:rPr>
                <w:rFonts w:ascii="Times New Roman" w:hAnsi="Times New Roman" w:cs="Times New Roman"/>
              </w:rPr>
              <w:t>Domestic Violence</w:t>
            </w:r>
          </w:p>
        </w:tc>
        <w:tc>
          <w:tcPr>
            <w:tcW w:w="3510" w:type="dxa"/>
          </w:tcPr>
          <w:p w14:paraId="5BA16119" w14:textId="77777777" w:rsidR="008469C1" w:rsidRPr="00AD4BBA" w:rsidRDefault="008469C1" w:rsidP="008469C1">
            <w:pPr>
              <w:rPr>
                <w:rFonts w:ascii="Times New Roman" w:hAnsi="Times New Roman" w:cs="Times New Roman"/>
              </w:rPr>
            </w:pPr>
            <w:r w:rsidRPr="00AD4BBA">
              <w:rPr>
                <w:rFonts w:ascii="Times New Roman" w:hAnsi="Times New Roman" w:cs="Times New Roman"/>
              </w:rPr>
              <w:t xml:space="preserve">Administrative Closure: </w:t>
            </w:r>
          </w:p>
          <w:p w14:paraId="5916E3A2" w14:textId="77777777" w:rsidR="008469C1" w:rsidRPr="00AD4BBA" w:rsidRDefault="008469C1" w:rsidP="008469C1">
            <w:pPr>
              <w:rPr>
                <w:rFonts w:ascii="Times New Roman" w:hAnsi="Times New Roman" w:cs="Times New Roman"/>
              </w:rPr>
            </w:pPr>
            <w:r w:rsidRPr="00AD4BBA">
              <w:rPr>
                <w:rFonts w:ascii="Times New Roman" w:hAnsi="Times New Roman" w:cs="Times New Roman"/>
              </w:rPr>
              <w:t xml:space="preserve">Initial Assessment </w:t>
            </w:r>
          </w:p>
          <w:p w14:paraId="5E2798BD" w14:textId="1F082AB2" w:rsidR="008469C1" w:rsidRPr="00AD4BBA" w:rsidRDefault="008469C1" w:rsidP="008469C1">
            <w:pPr>
              <w:rPr>
                <w:rFonts w:ascii="Times New Roman" w:hAnsi="Times New Roman" w:cs="Times New Roman"/>
              </w:rPr>
            </w:pPr>
            <w:proofErr w:type="gramStart"/>
            <w:r w:rsidRPr="00AD4BBA">
              <w:rPr>
                <w:rFonts w:ascii="Times New Roman" w:hAnsi="Times New Roman" w:cs="Times New Roman"/>
              </w:rPr>
              <w:t>Concluded;</w:t>
            </w:r>
            <w:proofErr w:type="gramEnd"/>
            <w:r w:rsidRPr="00AD4BBA">
              <w:rPr>
                <w:rFonts w:ascii="Times New Roman" w:hAnsi="Times New Roman" w:cs="Times New Roman"/>
              </w:rPr>
              <w:t xml:space="preserve"> No Jurisdiction</w:t>
            </w:r>
          </w:p>
          <w:p w14:paraId="4568968E" w14:textId="0C6EBC76" w:rsidR="009305EA" w:rsidRPr="007F7DD9" w:rsidRDefault="009305EA" w:rsidP="00CB50EF">
            <w:pPr>
              <w:rPr>
                <w:rFonts w:ascii="Times New Roman" w:hAnsi="Times New Roman" w:cs="Times New Roman"/>
                <w:sz w:val="10"/>
                <w:szCs w:val="10"/>
              </w:rPr>
            </w:pPr>
          </w:p>
        </w:tc>
        <w:tc>
          <w:tcPr>
            <w:tcW w:w="1800" w:type="dxa"/>
          </w:tcPr>
          <w:p w14:paraId="00567EFC" w14:textId="77777777" w:rsidR="00856B12" w:rsidRPr="00AD4BBA" w:rsidRDefault="00856B12" w:rsidP="00856B12">
            <w:pPr>
              <w:rPr>
                <w:rFonts w:ascii="Times New Roman" w:hAnsi="Times New Roman" w:cs="Times New Roman"/>
              </w:rPr>
            </w:pPr>
            <w:r w:rsidRPr="00AD4BBA">
              <w:rPr>
                <w:rFonts w:ascii="Times New Roman" w:hAnsi="Times New Roman" w:cs="Times New Roman"/>
              </w:rPr>
              <w:t>Disciplinary Process:</w:t>
            </w:r>
          </w:p>
          <w:p w14:paraId="5864A66E" w14:textId="11523934" w:rsidR="00CD284C" w:rsidRPr="00AD4BBA" w:rsidRDefault="00856B12" w:rsidP="00856B12">
            <w:pPr>
              <w:rPr>
                <w:rFonts w:ascii="Times New Roman" w:hAnsi="Times New Roman" w:cs="Times New Roman"/>
              </w:rPr>
            </w:pPr>
            <w:r w:rsidRPr="00AD4BBA">
              <w:rPr>
                <w:rFonts w:ascii="Times New Roman" w:hAnsi="Times New Roman" w:cs="Times New Roman"/>
              </w:rPr>
              <w:t>Not Applicable</w:t>
            </w:r>
          </w:p>
        </w:tc>
      </w:tr>
      <w:tr w:rsidR="00EE3B16" w:rsidRPr="00AD4BBA" w14:paraId="1DAD1E86" w14:textId="77777777" w:rsidTr="00317245">
        <w:tc>
          <w:tcPr>
            <w:tcW w:w="1075" w:type="dxa"/>
          </w:tcPr>
          <w:p w14:paraId="389A7FFF" w14:textId="6D31067C" w:rsidR="00415DAC" w:rsidRPr="00AD4BBA" w:rsidRDefault="008C1A5A" w:rsidP="00070F69">
            <w:pPr>
              <w:rPr>
                <w:rFonts w:ascii="Times New Roman" w:hAnsi="Times New Roman" w:cs="Times New Roman"/>
              </w:rPr>
            </w:pPr>
            <w:r w:rsidRPr="00AD4BBA">
              <w:rPr>
                <w:rFonts w:ascii="Times New Roman" w:hAnsi="Times New Roman" w:cs="Times New Roman"/>
              </w:rPr>
              <w:t>5</w:t>
            </w:r>
            <w:r w:rsidR="000D7203" w:rsidRPr="00AD4BBA">
              <w:rPr>
                <w:rFonts w:ascii="Times New Roman" w:hAnsi="Times New Roman" w:cs="Times New Roman"/>
              </w:rPr>
              <w:t>*</w:t>
            </w:r>
          </w:p>
        </w:tc>
        <w:tc>
          <w:tcPr>
            <w:tcW w:w="1350" w:type="dxa"/>
          </w:tcPr>
          <w:p w14:paraId="1A2D3BA5" w14:textId="38A7FE6C" w:rsidR="00FA7256" w:rsidRPr="00AD4BBA" w:rsidRDefault="008469C1" w:rsidP="00070F69">
            <w:pPr>
              <w:rPr>
                <w:rFonts w:ascii="Times New Roman" w:hAnsi="Times New Roman" w:cs="Times New Roman"/>
              </w:rPr>
            </w:pPr>
            <w:r>
              <w:rPr>
                <w:rFonts w:ascii="Times New Roman" w:hAnsi="Times New Roman" w:cs="Times New Roman"/>
              </w:rPr>
              <w:t>10/31/2025</w:t>
            </w:r>
          </w:p>
        </w:tc>
        <w:tc>
          <w:tcPr>
            <w:tcW w:w="1800" w:type="dxa"/>
          </w:tcPr>
          <w:p w14:paraId="5455F2E5" w14:textId="17EBC01B" w:rsidR="00415DAC" w:rsidRPr="00AD4BBA" w:rsidRDefault="00FD0BE3" w:rsidP="00070F69">
            <w:pPr>
              <w:rPr>
                <w:rFonts w:ascii="Times New Roman" w:hAnsi="Times New Roman" w:cs="Times New Roman"/>
              </w:rPr>
            </w:pPr>
            <w:r w:rsidRPr="00AD4BBA">
              <w:rPr>
                <w:rFonts w:ascii="Times New Roman" w:hAnsi="Times New Roman" w:cs="Times New Roman"/>
              </w:rPr>
              <w:t xml:space="preserve">Sexual </w:t>
            </w:r>
            <w:r w:rsidR="000569EB">
              <w:rPr>
                <w:rFonts w:ascii="Times New Roman" w:hAnsi="Times New Roman" w:cs="Times New Roman"/>
              </w:rPr>
              <w:t>Assault</w:t>
            </w:r>
          </w:p>
        </w:tc>
        <w:tc>
          <w:tcPr>
            <w:tcW w:w="3510" w:type="dxa"/>
          </w:tcPr>
          <w:p w14:paraId="19B5DA06" w14:textId="77777777" w:rsidR="000569EB" w:rsidRPr="00AD4BBA" w:rsidRDefault="000569EB" w:rsidP="000569EB">
            <w:pPr>
              <w:rPr>
                <w:rFonts w:ascii="Times New Roman" w:hAnsi="Times New Roman" w:cs="Times New Roman"/>
              </w:rPr>
            </w:pPr>
            <w:r w:rsidRPr="00AD4BBA">
              <w:rPr>
                <w:rFonts w:ascii="Times New Roman" w:hAnsi="Times New Roman" w:cs="Times New Roman"/>
              </w:rPr>
              <w:t xml:space="preserve">Administrative Closure: </w:t>
            </w:r>
          </w:p>
          <w:p w14:paraId="7079D2B2" w14:textId="77777777" w:rsidR="000569EB" w:rsidRPr="00AD4BBA" w:rsidRDefault="000569EB" w:rsidP="000569EB">
            <w:pPr>
              <w:rPr>
                <w:rFonts w:ascii="Times New Roman" w:hAnsi="Times New Roman" w:cs="Times New Roman"/>
              </w:rPr>
            </w:pPr>
            <w:r w:rsidRPr="00AD4BBA">
              <w:rPr>
                <w:rFonts w:ascii="Times New Roman" w:hAnsi="Times New Roman" w:cs="Times New Roman"/>
              </w:rPr>
              <w:t xml:space="preserve">Initial Assessment </w:t>
            </w:r>
          </w:p>
          <w:p w14:paraId="0C94F18D" w14:textId="758838F5" w:rsidR="000569EB" w:rsidRPr="00AD4BBA" w:rsidRDefault="000569EB" w:rsidP="000569EB">
            <w:pPr>
              <w:rPr>
                <w:rFonts w:ascii="Times New Roman" w:hAnsi="Times New Roman" w:cs="Times New Roman"/>
              </w:rPr>
            </w:pPr>
            <w:proofErr w:type="gramStart"/>
            <w:r w:rsidRPr="00AD4BBA">
              <w:rPr>
                <w:rFonts w:ascii="Times New Roman" w:hAnsi="Times New Roman" w:cs="Times New Roman"/>
              </w:rPr>
              <w:t>Concluded;</w:t>
            </w:r>
            <w:proofErr w:type="gramEnd"/>
            <w:r w:rsidRPr="00AD4BBA">
              <w:rPr>
                <w:rFonts w:ascii="Times New Roman" w:hAnsi="Times New Roman" w:cs="Times New Roman"/>
              </w:rPr>
              <w:t xml:space="preserve"> No Jurisdiction</w:t>
            </w:r>
          </w:p>
          <w:p w14:paraId="00541FC0" w14:textId="65C5509C" w:rsidR="00367D4D" w:rsidRPr="007F7DD9" w:rsidRDefault="00367D4D" w:rsidP="00D81BC7">
            <w:pPr>
              <w:rPr>
                <w:rFonts w:ascii="Times New Roman" w:hAnsi="Times New Roman" w:cs="Times New Roman"/>
                <w:sz w:val="10"/>
                <w:szCs w:val="10"/>
              </w:rPr>
            </w:pPr>
          </w:p>
        </w:tc>
        <w:tc>
          <w:tcPr>
            <w:tcW w:w="1800" w:type="dxa"/>
          </w:tcPr>
          <w:p w14:paraId="335A3A69" w14:textId="77777777" w:rsidR="00592F7E" w:rsidRPr="00AD4BBA" w:rsidRDefault="00592F7E" w:rsidP="00592F7E">
            <w:pPr>
              <w:rPr>
                <w:rFonts w:ascii="Times New Roman" w:hAnsi="Times New Roman" w:cs="Times New Roman"/>
              </w:rPr>
            </w:pPr>
            <w:r w:rsidRPr="00AD4BBA">
              <w:rPr>
                <w:rFonts w:ascii="Times New Roman" w:hAnsi="Times New Roman" w:cs="Times New Roman"/>
              </w:rPr>
              <w:t>Disciplinary Process:</w:t>
            </w:r>
          </w:p>
          <w:p w14:paraId="3652B316" w14:textId="277FAAAF" w:rsidR="00415DAC" w:rsidRPr="00AD4BBA" w:rsidRDefault="00592F7E" w:rsidP="00592F7E">
            <w:pPr>
              <w:rPr>
                <w:rFonts w:ascii="Times New Roman" w:hAnsi="Times New Roman" w:cs="Times New Roman"/>
              </w:rPr>
            </w:pPr>
            <w:r w:rsidRPr="00AD4BBA">
              <w:rPr>
                <w:rFonts w:ascii="Times New Roman" w:hAnsi="Times New Roman" w:cs="Times New Roman"/>
              </w:rPr>
              <w:t>Not Applicable</w:t>
            </w:r>
          </w:p>
        </w:tc>
      </w:tr>
      <w:tr w:rsidR="00EE3B16" w:rsidRPr="00AD4BBA" w14:paraId="45094995" w14:textId="77777777" w:rsidTr="00317245">
        <w:tc>
          <w:tcPr>
            <w:tcW w:w="1075" w:type="dxa"/>
          </w:tcPr>
          <w:p w14:paraId="1578C024" w14:textId="21B80248" w:rsidR="00415DAC" w:rsidRPr="00AD4BBA" w:rsidRDefault="006D644E" w:rsidP="00070F69">
            <w:pPr>
              <w:rPr>
                <w:rFonts w:ascii="Times New Roman" w:hAnsi="Times New Roman" w:cs="Times New Roman"/>
              </w:rPr>
            </w:pPr>
            <w:r w:rsidRPr="00AD4BBA">
              <w:rPr>
                <w:rFonts w:ascii="Times New Roman" w:hAnsi="Times New Roman" w:cs="Times New Roman"/>
              </w:rPr>
              <w:t>6</w:t>
            </w:r>
          </w:p>
        </w:tc>
        <w:tc>
          <w:tcPr>
            <w:tcW w:w="1350" w:type="dxa"/>
          </w:tcPr>
          <w:p w14:paraId="546FE72A" w14:textId="600E80D5" w:rsidR="00FA7256" w:rsidRPr="00AD4BBA" w:rsidRDefault="00E82D8B" w:rsidP="00070F69">
            <w:pPr>
              <w:rPr>
                <w:rFonts w:ascii="Times New Roman" w:hAnsi="Times New Roman" w:cs="Times New Roman"/>
              </w:rPr>
            </w:pPr>
            <w:r>
              <w:rPr>
                <w:rFonts w:ascii="Times New Roman" w:hAnsi="Times New Roman" w:cs="Times New Roman"/>
              </w:rPr>
              <w:t>11/02/2025</w:t>
            </w:r>
          </w:p>
        </w:tc>
        <w:tc>
          <w:tcPr>
            <w:tcW w:w="1800" w:type="dxa"/>
          </w:tcPr>
          <w:p w14:paraId="6404180A" w14:textId="6238315D" w:rsidR="00415DAC" w:rsidRPr="00AD4BBA" w:rsidRDefault="00D46A33" w:rsidP="00070F69">
            <w:pPr>
              <w:rPr>
                <w:rFonts w:ascii="Times New Roman" w:hAnsi="Times New Roman" w:cs="Times New Roman"/>
              </w:rPr>
            </w:pPr>
            <w:r>
              <w:rPr>
                <w:rFonts w:ascii="Times New Roman" w:hAnsi="Times New Roman" w:cs="Times New Roman"/>
              </w:rPr>
              <w:t xml:space="preserve">Sexual Harassment </w:t>
            </w:r>
          </w:p>
        </w:tc>
        <w:tc>
          <w:tcPr>
            <w:tcW w:w="3510" w:type="dxa"/>
          </w:tcPr>
          <w:p w14:paraId="76617E81" w14:textId="77777777" w:rsidR="00D46A33" w:rsidRPr="00AD4BBA" w:rsidRDefault="00D46A33" w:rsidP="00D46A33">
            <w:pPr>
              <w:rPr>
                <w:rFonts w:ascii="Times New Roman" w:hAnsi="Times New Roman" w:cs="Times New Roman"/>
              </w:rPr>
            </w:pPr>
            <w:r w:rsidRPr="00AD4BBA">
              <w:rPr>
                <w:rFonts w:ascii="Times New Roman" w:hAnsi="Times New Roman" w:cs="Times New Roman"/>
              </w:rPr>
              <w:t xml:space="preserve">Administrative Closure: </w:t>
            </w:r>
          </w:p>
          <w:p w14:paraId="153F0244" w14:textId="77777777" w:rsidR="00D46A33" w:rsidRPr="00AD4BBA" w:rsidRDefault="00D46A33" w:rsidP="00D46A33">
            <w:pPr>
              <w:rPr>
                <w:rFonts w:ascii="Times New Roman" w:hAnsi="Times New Roman" w:cs="Times New Roman"/>
              </w:rPr>
            </w:pPr>
            <w:r w:rsidRPr="00AD4BBA">
              <w:rPr>
                <w:rFonts w:ascii="Times New Roman" w:hAnsi="Times New Roman" w:cs="Times New Roman"/>
              </w:rPr>
              <w:t xml:space="preserve">Initial assessment </w:t>
            </w:r>
          </w:p>
          <w:p w14:paraId="2D46B7A8" w14:textId="77777777" w:rsidR="00D46A33" w:rsidRPr="00AD4BBA" w:rsidRDefault="00D46A33" w:rsidP="00D46A33">
            <w:pPr>
              <w:rPr>
                <w:rFonts w:ascii="Times New Roman" w:hAnsi="Times New Roman" w:cs="Times New Roman"/>
              </w:rPr>
            </w:pPr>
            <w:proofErr w:type="gramStart"/>
            <w:r w:rsidRPr="00AD4BBA">
              <w:rPr>
                <w:rFonts w:ascii="Times New Roman" w:hAnsi="Times New Roman" w:cs="Times New Roman"/>
              </w:rPr>
              <w:t>concluded;</w:t>
            </w:r>
            <w:proofErr w:type="gramEnd"/>
            <w:r w:rsidRPr="00AD4BBA">
              <w:rPr>
                <w:rFonts w:ascii="Times New Roman" w:hAnsi="Times New Roman" w:cs="Times New Roman"/>
              </w:rPr>
              <w:t xml:space="preserve"> Complainant</w:t>
            </w:r>
          </w:p>
          <w:p w14:paraId="0D00706A" w14:textId="77777777" w:rsidR="00D46A33" w:rsidRPr="00AD4BBA" w:rsidRDefault="00D46A33" w:rsidP="00D46A33">
            <w:pPr>
              <w:rPr>
                <w:rFonts w:ascii="Times New Roman" w:hAnsi="Times New Roman" w:cs="Times New Roman"/>
              </w:rPr>
            </w:pPr>
            <w:r w:rsidRPr="00AD4BBA">
              <w:rPr>
                <w:rFonts w:ascii="Times New Roman" w:hAnsi="Times New Roman" w:cs="Times New Roman"/>
              </w:rPr>
              <w:t>Requested Not to</w:t>
            </w:r>
          </w:p>
          <w:p w14:paraId="0C1B130C" w14:textId="68F275B6" w:rsidR="00367D4D" w:rsidRPr="00D46A33" w:rsidRDefault="00D46A33" w:rsidP="00D70729">
            <w:pPr>
              <w:rPr>
                <w:rFonts w:ascii="Times New Roman" w:hAnsi="Times New Roman" w:cs="Times New Roman"/>
              </w:rPr>
            </w:pPr>
            <w:r w:rsidRPr="00AD4BBA">
              <w:rPr>
                <w:rFonts w:ascii="Times New Roman" w:hAnsi="Times New Roman" w:cs="Times New Roman"/>
              </w:rPr>
              <w:t>Investigate</w:t>
            </w:r>
          </w:p>
        </w:tc>
        <w:tc>
          <w:tcPr>
            <w:tcW w:w="1800" w:type="dxa"/>
          </w:tcPr>
          <w:p w14:paraId="1257AAD3" w14:textId="77777777" w:rsidR="00592F7E" w:rsidRPr="00AD4BBA" w:rsidRDefault="00592F7E" w:rsidP="00592F7E">
            <w:pPr>
              <w:rPr>
                <w:rFonts w:ascii="Times New Roman" w:hAnsi="Times New Roman" w:cs="Times New Roman"/>
              </w:rPr>
            </w:pPr>
            <w:r w:rsidRPr="00AD4BBA">
              <w:rPr>
                <w:rFonts w:ascii="Times New Roman" w:hAnsi="Times New Roman" w:cs="Times New Roman"/>
              </w:rPr>
              <w:t>Disciplinary Process:</w:t>
            </w:r>
          </w:p>
          <w:p w14:paraId="05B67DEB" w14:textId="484120B7" w:rsidR="00415DAC" w:rsidRPr="00AD4BBA" w:rsidRDefault="00592F7E" w:rsidP="00592F7E">
            <w:pPr>
              <w:rPr>
                <w:rFonts w:ascii="Times New Roman" w:hAnsi="Times New Roman" w:cs="Times New Roman"/>
              </w:rPr>
            </w:pPr>
            <w:r w:rsidRPr="00AD4BBA">
              <w:rPr>
                <w:rFonts w:ascii="Times New Roman" w:hAnsi="Times New Roman" w:cs="Times New Roman"/>
              </w:rPr>
              <w:t>Not Applicable</w:t>
            </w:r>
          </w:p>
        </w:tc>
      </w:tr>
    </w:tbl>
    <w:p w14:paraId="68FA019D" w14:textId="77777777" w:rsidR="00977485" w:rsidRPr="00AD4BBA" w:rsidRDefault="00977485" w:rsidP="0045399D">
      <w:pPr>
        <w:spacing w:after="120" w:line="240" w:lineRule="auto"/>
        <w:rPr>
          <w:rFonts w:ascii="Times New Roman" w:hAnsi="Times New Roman" w:cs="Times New Roman"/>
          <w:i/>
          <w:iCs/>
        </w:rPr>
      </w:pPr>
      <w:r w:rsidRPr="00AD4BBA">
        <w:rPr>
          <w:rFonts w:ascii="Times New Roman" w:hAnsi="Times New Roman" w:cs="Times New Roman"/>
          <w:i/>
          <w:iCs/>
        </w:rPr>
        <w:t xml:space="preserve">*Indicates duplicate reports were consolidated into one case number. </w:t>
      </w:r>
    </w:p>
    <w:p w14:paraId="3746F917" w14:textId="77777777" w:rsidR="00CB3EEB" w:rsidRDefault="00CB3EEB" w:rsidP="00BA478B">
      <w:pPr>
        <w:spacing w:after="0" w:line="240" w:lineRule="auto"/>
        <w:jc w:val="center"/>
        <w:rPr>
          <w:rFonts w:ascii="Times New Roman" w:hAnsi="Times New Roman" w:cs="Times New Roman"/>
          <w:b/>
          <w:bCs/>
        </w:rPr>
      </w:pPr>
    </w:p>
    <w:p w14:paraId="46F0A2AA" w14:textId="0C4AE510" w:rsidR="0092082E" w:rsidRDefault="003A0D16" w:rsidP="0092082E">
      <w:pPr>
        <w:spacing w:after="0" w:line="240" w:lineRule="auto"/>
        <w:jc w:val="center"/>
        <w:rPr>
          <w:rFonts w:ascii="Times New Roman" w:hAnsi="Times New Roman" w:cs="Times New Roman"/>
          <w:b/>
          <w:bCs/>
        </w:rPr>
      </w:pPr>
      <w:r w:rsidRPr="00AD4BBA">
        <w:rPr>
          <w:rFonts w:ascii="Times New Roman" w:hAnsi="Times New Roman" w:cs="Times New Roman"/>
          <w:b/>
          <w:bCs/>
        </w:rPr>
        <w:t>Table 2</w:t>
      </w:r>
      <w:r w:rsidR="0092082E">
        <w:rPr>
          <w:rFonts w:ascii="Times New Roman" w:hAnsi="Times New Roman" w:cs="Times New Roman"/>
          <w:b/>
          <w:bCs/>
        </w:rPr>
        <w:t>:</w:t>
      </w:r>
    </w:p>
    <w:p w14:paraId="2CA50CDF" w14:textId="1D8D0B21" w:rsidR="003A0D16" w:rsidRPr="00AD4BBA" w:rsidRDefault="003A0D16" w:rsidP="0092082E">
      <w:pPr>
        <w:spacing w:after="0" w:line="240" w:lineRule="auto"/>
        <w:jc w:val="center"/>
        <w:rPr>
          <w:rFonts w:ascii="Times New Roman" w:hAnsi="Times New Roman" w:cs="Times New Roman"/>
          <w:b/>
          <w:bCs/>
        </w:rPr>
      </w:pPr>
      <w:r w:rsidRPr="00AD4BBA">
        <w:rPr>
          <w:rFonts w:ascii="Times New Roman" w:hAnsi="Times New Roman" w:cs="Times New Roman"/>
          <w:b/>
          <w:bCs/>
        </w:rPr>
        <w:t>Alleged Conduct under TEC, Section 51.255(a):</w:t>
      </w:r>
    </w:p>
    <w:p w14:paraId="354FDCFC" w14:textId="34675AAD" w:rsidR="003A0D16" w:rsidRPr="00AD4BBA" w:rsidRDefault="003A0D16" w:rsidP="0092082E">
      <w:pPr>
        <w:spacing w:after="120" w:line="240" w:lineRule="auto"/>
        <w:jc w:val="center"/>
        <w:rPr>
          <w:rFonts w:ascii="Times New Roman" w:hAnsi="Times New Roman" w:cs="Times New Roman"/>
          <w:b/>
          <w:bCs/>
        </w:rPr>
      </w:pPr>
      <w:r w:rsidRPr="00AD4BBA">
        <w:rPr>
          <w:rFonts w:ascii="Times New Roman" w:hAnsi="Times New Roman" w:cs="Times New Roman"/>
          <w:b/>
          <w:bCs/>
        </w:rPr>
        <w:t>Reports received that include allegations of an employee’s failure to report or who submits a false</w:t>
      </w:r>
      <w:r w:rsidR="006161CB" w:rsidRPr="00AD4BBA">
        <w:rPr>
          <w:rFonts w:ascii="Times New Roman" w:hAnsi="Times New Roman" w:cs="Times New Roman"/>
          <w:b/>
          <w:bCs/>
        </w:rPr>
        <w:t xml:space="preserve"> </w:t>
      </w:r>
      <w:r w:rsidRPr="00AD4BBA">
        <w:rPr>
          <w:rFonts w:ascii="Times New Roman" w:hAnsi="Times New Roman" w:cs="Times New Roman"/>
          <w:b/>
          <w:bCs/>
        </w:rPr>
        <w:t>report to the institution under Section 51.255(a)</w:t>
      </w:r>
    </w:p>
    <w:tbl>
      <w:tblPr>
        <w:tblStyle w:val="TableGrid"/>
        <w:tblW w:w="9535" w:type="dxa"/>
        <w:tblLook w:val="04A0" w:firstRow="1" w:lastRow="0" w:firstColumn="1" w:lastColumn="0" w:noHBand="0" w:noVBand="1"/>
      </w:tblPr>
      <w:tblGrid>
        <w:gridCol w:w="1075"/>
        <w:gridCol w:w="1310"/>
        <w:gridCol w:w="2200"/>
        <w:gridCol w:w="2731"/>
        <w:gridCol w:w="2219"/>
      </w:tblGrid>
      <w:tr w:rsidR="004D0206" w:rsidRPr="00AD4BBA" w14:paraId="46838673" w14:textId="77777777" w:rsidTr="00AD4BBA">
        <w:tc>
          <w:tcPr>
            <w:tcW w:w="1075" w:type="dxa"/>
            <w:shd w:val="clear" w:color="auto" w:fill="D9D9D9" w:themeFill="background1" w:themeFillShade="D9"/>
          </w:tcPr>
          <w:p w14:paraId="348B5B3F" w14:textId="77777777" w:rsidR="004D0206" w:rsidRPr="00AD4BBA" w:rsidRDefault="004D0206" w:rsidP="0048418F">
            <w:pPr>
              <w:jc w:val="center"/>
              <w:rPr>
                <w:rFonts w:ascii="Times New Roman" w:hAnsi="Times New Roman" w:cs="Times New Roman"/>
                <w:b/>
                <w:bCs/>
              </w:rPr>
            </w:pPr>
            <w:r w:rsidRPr="00AD4BBA">
              <w:rPr>
                <w:rFonts w:ascii="Times New Roman" w:hAnsi="Times New Roman" w:cs="Times New Roman"/>
                <w:b/>
                <w:bCs/>
              </w:rPr>
              <w:t>Report Number</w:t>
            </w:r>
          </w:p>
        </w:tc>
        <w:tc>
          <w:tcPr>
            <w:tcW w:w="1310" w:type="dxa"/>
            <w:shd w:val="clear" w:color="auto" w:fill="D9D9D9" w:themeFill="background1" w:themeFillShade="D9"/>
          </w:tcPr>
          <w:p w14:paraId="61386138" w14:textId="77777777" w:rsidR="004D0206" w:rsidRPr="00AD4BBA" w:rsidRDefault="004D0206" w:rsidP="0048418F">
            <w:pPr>
              <w:jc w:val="center"/>
              <w:rPr>
                <w:rFonts w:ascii="Times New Roman" w:hAnsi="Times New Roman" w:cs="Times New Roman"/>
                <w:b/>
                <w:bCs/>
              </w:rPr>
            </w:pPr>
            <w:r w:rsidRPr="00AD4BBA">
              <w:rPr>
                <w:rFonts w:ascii="Times New Roman" w:hAnsi="Times New Roman" w:cs="Times New Roman"/>
                <w:b/>
                <w:bCs/>
              </w:rPr>
              <w:t>Date Received</w:t>
            </w:r>
          </w:p>
        </w:tc>
        <w:tc>
          <w:tcPr>
            <w:tcW w:w="2200" w:type="dxa"/>
            <w:shd w:val="clear" w:color="auto" w:fill="D9D9D9" w:themeFill="background1" w:themeFillShade="D9"/>
          </w:tcPr>
          <w:p w14:paraId="4AF6794F" w14:textId="4DD9E31C" w:rsidR="004D0206" w:rsidRPr="00AD4BBA" w:rsidRDefault="004D0206" w:rsidP="0048418F">
            <w:pPr>
              <w:jc w:val="center"/>
              <w:rPr>
                <w:rFonts w:ascii="Times New Roman" w:hAnsi="Times New Roman" w:cs="Times New Roman"/>
                <w:b/>
                <w:bCs/>
              </w:rPr>
            </w:pPr>
            <w:r w:rsidRPr="00AD4BBA">
              <w:rPr>
                <w:rFonts w:ascii="Times New Roman" w:hAnsi="Times New Roman" w:cs="Times New Roman"/>
                <w:b/>
                <w:bCs/>
              </w:rPr>
              <w:t>Alleged Conduct Under § 51.255 (a)</w:t>
            </w:r>
          </w:p>
        </w:tc>
        <w:tc>
          <w:tcPr>
            <w:tcW w:w="2731" w:type="dxa"/>
            <w:shd w:val="clear" w:color="auto" w:fill="D9D9D9" w:themeFill="background1" w:themeFillShade="D9"/>
          </w:tcPr>
          <w:p w14:paraId="6C98AEFA" w14:textId="77777777" w:rsidR="004D0206" w:rsidRPr="00AD4BBA" w:rsidRDefault="004D0206" w:rsidP="0048418F">
            <w:pPr>
              <w:jc w:val="center"/>
              <w:rPr>
                <w:rFonts w:ascii="Times New Roman" w:hAnsi="Times New Roman" w:cs="Times New Roman"/>
                <w:b/>
                <w:bCs/>
              </w:rPr>
            </w:pPr>
            <w:r w:rsidRPr="00AD4BBA">
              <w:rPr>
                <w:rFonts w:ascii="Times New Roman" w:hAnsi="Times New Roman" w:cs="Times New Roman"/>
                <w:b/>
                <w:bCs/>
              </w:rPr>
              <w:t>Investigation Status</w:t>
            </w:r>
          </w:p>
        </w:tc>
        <w:tc>
          <w:tcPr>
            <w:tcW w:w="2219" w:type="dxa"/>
            <w:shd w:val="clear" w:color="auto" w:fill="D9D9D9" w:themeFill="background1" w:themeFillShade="D9"/>
          </w:tcPr>
          <w:p w14:paraId="387DA083" w14:textId="77777777" w:rsidR="004D0206" w:rsidRPr="00AD4BBA" w:rsidRDefault="004D0206" w:rsidP="0048418F">
            <w:pPr>
              <w:jc w:val="center"/>
              <w:rPr>
                <w:rFonts w:ascii="Times New Roman" w:hAnsi="Times New Roman" w:cs="Times New Roman"/>
                <w:b/>
                <w:bCs/>
              </w:rPr>
            </w:pPr>
            <w:r w:rsidRPr="00AD4BBA">
              <w:rPr>
                <w:rFonts w:ascii="Times New Roman" w:hAnsi="Times New Roman" w:cs="Times New Roman"/>
                <w:b/>
                <w:bCs/>
              </w:rPr>
              <w:t>Disciplinary Status</w:t>
            </w:r>
          </w:p>
        </w:tc>
      </w:tr>
      <w:tr w:rsidR="002A7128" w:rsidRPr="00AD4BBA" w14:paraId="06E810DF" w14:textId="77777777" w:rsidTr="00AD4BBA">
        <w:tc>
          <w:tcPr>
            <w:tcW w:w="1075" w:type="dxa"/>
            <w:shd w:val="clear" w:color="auto" w:fill="D9D9D9" w:themeFill="background1" w:themeFillShade="D9"/>
          </w:tcPr>
          <w:p w14:paraId="714CA1A1" w14:textId="35ECD3AA" w:rsidR="002A7128" w:rsidRPr="00AD4BBA" w:rsidRDefault="002A7128" w:rsidP="0048418F">
            <w:pPr>
              <w:jc w:val="center"/>
              <w:rPr>
                <w:rFonts w:ascii="Times New Roman" w:hAnsi="Times New Roman" w:cs="Times New Roman"/>
                <w:b/>
                <w:bCs/>
                <w:i/>
                <w:iCs/>
              </w:rPr>
            </w:pPr>
            <w:r w:rsidRPr="00AD4BBA">
              <w:rPr>
                <w:rFonts w:ascii="Times New Roman" w:hAnsi="Times New Roman" w:cs="Times New Roman"/>
                <w:b/>
                <w:bCs/>
                <w:i/>
                <w:iCs/>
              </w:rPr>
              <w:t>N/A</w:t>
            </w:r>
          </w:p>
        </w:tc>
        <w:tc>
          <w:tcPr>
            <w:tcW w:w="1310" w:type="dxa"/>
            <w:shd w:val="clear" w:color="auto" w:fill="D9D9D9" w:themeFill="background1" w:themeFillShade="D9"/>
          </w:tcPr>
          <w:p w14:paraId="23E1929A" w14:textId="42F55E72" w:rsidR="002A7128" w:rsidRPr="00AD4BBA" w:rsidRDefault="002A7128" w:rsidP="0048418F">
            <w:pPr>
              <w:jc w:val="center"/>
              <w:rPr>
                <w:rFonts w:ascii="Times New Roman" w:hAnsi="Times New Roman" w:cs="Times New Roman"/>
                <w:b/>
                <w:bCs/>
              </w:rPr>
            </w:pPr>
            <w:r w:rsidRPr="00AD4BBA">
              <w:rPr>
                <w:rFonts w:ascii="Times New Roman" w:hAnsi="Times New Roman" w:cs="Times New Roman"/>
                <w:b/>
                <w:bCs/>
                <w:i/>
                <w:iCs/>
              </w:rPr>
              <w:t>N/A</w:t>
            </w:r>
          </w:p>
        </w:tc>
        <w:tc>
          <w:tcPr>
            <w:tcW w:w="2200" w:type="dxa"/>
            <w:shd w:val="clear" w:color="auto" w:fill="D9D9D9" w:themeFill="background1" w:themeFillShade="D9"/>
          </w:tcPr>
          <w:p w14:paraId="1FC1F431" w14:textId="5A351327" w:rsidR="002A7128" w:rsidRPr="00AD4BBA" w:rsidRDefault="002A7128" w:rsidP="0048418F">
            <w:pPr>
              <w:jc w:val="center"/>
              <w:rPr>
                <w:rFonts w:ascii="Times New Roman" w:hAnsi="Times New Roman" w:cs="Times New Roman"/>
                <w:b/>
                <w:bCs/>
              </w:rPr>
            </w:pPr>
            <w:r w:rsidRPr="00AD4BBA">
              <w:rPr>
                <w:rFonts w:ascii="Times New Roman" w:hAnsi="Times New Roman" w:cs="Times New Roman"/>
                <w:b/>
                <w:bCs/>
                <w:i/>
                <w:iCs/>
              </w:rPr>
              <w:t>N/A</w:t>
            </w:r>
          </w:p>
        </w:tc>
        <w:tc>
          <w:tcPr>
            <w:tcW w:w="2731" w:type="dxa"/>
            <w:shd w:val="clear" w:color="auto" w:fill="D9D9D9" w:themeFill="background1" w:themeFillShade="D9"/>
          </w:tcPr>
          <w:p w14:paraId="6EC1B1E5" w14:textId="412CB3E8" w:rsidR="002A7128" w:rsidRPr="00AD4BBA" w:rsidRDefault="002A7128" w:rsidP="0048418F">
            <w:pPr>
              <w:jc w:val="center"/>
              <w:rPr>
                <w:rFonts w:ascii="Times New Roman" w:hAnsi="Times New Roman" w:cs="Times New Roman"/>
                <w:b/>
                <w:bCs/>
              </w:rPr>
            </w:pPr>
            <w:r w:rsidRPr="00AD4BBA">
              <w:rPr>
                <w:rFonts w:ascii="Times New Roman" w:hAnsi="Times New Roman" w:cs="Times New Roman"/>
                <w:b/>
                <w:bCs/>
                <w:i/>
                <w:iCs/>
              </w:rPr>
              <w:t>N/A</w:t>
            </w:r>
          </w:p>
        </w:tc>
        <w:tc>
          <w:tcPr>
            <w:tcW w:w="2219" w:type="dxa"/>
            <w:shd w:val="clear" w:color="auto" w:fill="D9D9D9" w:themeFill="background1" w:themeFillShade="D9"/>
          </w:tcPr>
          <w:p w14:paraId="17D2A3F1" w14:textId="6AFEA4F8" w:rsidR="002A7128" w:rsidRPr="00AD4BBA" w:rsidRDefault="002A7128" w:rsidP="0048418F">
            <w:pPr>
              <w:jc w:val="center"/>
              <w:rPr>
                <w:rFonts w:ascii="Times New Roman" w:hAnsi="Times New Roman" w:cs="Times New Roman"/>
                <w:b/>
                <w:bCs/>
              </w:rPr>
            </w:pPr>
            <w:r w:rsidRPr="00AD4BBA">
              <w:rPr>
                <w:rFonts w:ascii="Times New Roman" w:hAnsi="Times New Roman" w:cs="Times New Roman"/>
                <w:b/>
                <w:bCs/>
                <w:i/>
                <w:iCs/>
              </w:rPr>
              <w:t>N/A</w:t>
            </w:r>
          </w:p>
        </w:tc>
      </w:tr>
    </w:tbl>
    <w:p w14:paraId="2F11AC76" w14:textId="77777777" w:rsidR="00CB3EEB" w:rsidRDefault="00CB3EEB" w:rsidP="001D52F3">
      <w:pPr>
        <w:spacing w:after="0" w:line="240" w:lineRule="auto"/>
        <w:jc w:val="center"/>
        <w:rPr>
          <w:rFonts w:ascii="Times New Roman" w:hAnsi="Times New Roman" w:cs="Times New Roman"/>
          <w:b/>
          <w:bCs/>
        </w:rPr>
      </w:pPr>
    </w:p>
    <w:p w14:paraId="4DD07907" w14:textId="77777777" w:rsidR="00CB3EEB" w:rsidRDefault="00CB3EEB" w:rsidP="001D52F3">
      <w:pPr>
        <w:spacing w:after="0" w:line="240" w:lineRule="auto"/>
        <w:jc w:val="center"/>
        <w:rPr>
          <w:rFonts w:ascii="Times New Roman" w:hAnsi="Times New Roman" w:cs="Times New Roman"/>
          <w:b/>
          <w:bCs/>
        </w:rPr>
      </w:pPr>
    </w:p>
    <w:p w14:paraId="12A9675E" w14:textId="77777777" w:rsidR="00CB3EEB" w:rsidRDefault="00CB3EEB" w:rsidP="001D52F3">
      <w:pPr>
        <w:spacing w:after="0" w:line="240" w:lineRule="auto"/>
        <w:jc w:val="center"/>
        <w:rPr>
          <w:rFonts w:ascii="Times New Roman" w:hAnsi="Times New Roman" w:cs="Times New Roman"/>
          <w:b/>
          <w:bCs/>
        </w:rPr>
      </w:pPr>
    </w:p>
    <w:p w14:paraId="080AD773" w14:textId="07EF4EA1" w:rsidR="009F55F2" w:rsidRPr="00AD4BBA" w:rsidRDefault="009F55F2" w:rsidP="001D52F3">
      <w:pPr>
        <w:spacing w:after="0" w:line="240" w:lineRule="auto"/>
        <w:jc w:val="center"/>
        <w:rPr>
          <w:rFonts w:ascii="Times New Roman" w:hAnsi="Times New Roman" w:cs="Times New Roman"/>
          <w:b/>
          <w:bCs/>
        </w:rPr>
      </w:pPr>
      <w:r w:rsidRPr="00AD4BBA">
        <w:rPr>
          <w:rFonts w:ascii="Times New Roman" w:hAnsi="Times New Roman" w:cs="Times New Roman"/>
          <w:b/>
          <w:bCs/>
        </w:rPr>
        <w:lastRenderedPageBreak/>
        <w:t>Appendix B</w:t>
      </w:r>
    </w:p>
    <w:p w14:paraId="22F80276" w14:textId="085822A4" w:rsidR="009F55F2" w:rsidRPr="00AD4BBA" w:rsidRDefault="009F55F2" w:rsidP="001D52F3">
      <w:pPr>
        <w:spacing w:after="0" w:line="240" w:lineRule="auto"/>
        <w:jc w:val="center"/>
        <w:rPr>
          <w:rFonts w:ascii="Times New Roman" w:hAnsi="Times New Roman" w:cs="Times New Roman"/>
          <w:b/>
          <w:bCs/>
        </w:rPr>
      </w:pPr>
      <w:r w:rsidRPr="00AD4BBA">
        <w:rPr>
          <w:rFonts w:ascii="Times New Roman" w:hAnsi="Times New Roman" w:cs="Times New Roman"/>
          <w:b/>
          <w:bCs/>
        </w:rPr>
        <w:t xml:space="preserve">Summary Data Report </w:t>
      </w:r>
    </w:p>
    <w:p w14:paraId="693B3940" w14:textId="5CC512FA" w:rsidR="009F55F2" w:rsidRDefault="00332490" w:rsidP="00BA478B">
      <w:pPr>
        <w:spacing w:after="0" w:line="240" w:lineRule="auto"/>
        <w:jc w:val="center"/>
        <w:rPr>
          <w:rFonts w:ascii="Times New Roman" w:hAnsi="Times New Roman" w:cs="Times New Roman"/>
          <w:b/>
          <w:bCs/>
        </w:rPr>
      </w:pPr>
      <w:r>
        <w:rPr>
          <w:rFonts w:ascii="Times New Roman" w:hAnsi="Times New Roman" w:cs="Times New Roman"/>
          <w:b/>
          <w:bCs/>
        </w:rPr>
        <w:t>2025-2026 First</w:t>
      </w:r>
      <w:r w:rsidR="00BA478B" w:rsidRPr="00AD4BBA">
        <w:rPr>
          <w:rFonts w:ascii="Times New Roman" w:hAnsi="Times New Roman" w:cs="Times New Roman"/>
          <w:b/>
          <w:bCs/>
        </w:rPr>
        <w:t xml:space="preserve"> Quarter </w:t>
      </w:r>
      <w:r w:rsidR="009F55F2" w:rsidRPr="00AD4BBA">
        <w:rPr>
          <w:rFonts w:ascii="Times New Roman" w:hAnsi="Times New Roman" w:cs="Times New Roman"/>
          <w:b/>
          <w:bCs/>
        </w:rPr>
        <w:t xml:space="preserve">Academic Year </w:t>
      </w:r>
    </w:p>
    <w:p w14:paraId="7077C0AA" w14:textId="77777777" w:rsidR="00DE0B3B" w:rsidRDefault="00DE0B3B" w:rsidP="00DE0B3B">
      <w:pPr>
        <w:spacing w:after="0" w:line="360" w:lineRule="auto"/>
        <w:jc w:val="center"/>
        <w:rPr>
          <w:rFonts w:ascii="Times New Roman" w:hAnsi="Times New Roman" w:cs="Times New Roman"/>
          <w:b/>
          <w:bCs/>
          <w:sz w:val="23"/>
          <w:szCs w:val="23"/>
        </w:rPr>
      </w:pPr>
      <w:r>
        <w:rPr>
          <w:rFonts w:ascii="Times New Roman" w:hAnsi="Times New Roman" w:cs="Times New Roman"/>
          <w:b/>
          <w:bCs/>
          <w:sz w:val="23"/>
          <w:szCs w:val="23"/>
        </w:rPr>
        <w:t xml:space="preserve">Employee submitted reports and number of confidential reports as per Tex. Ed. Code </w:t>
      </w:r>
      <w:r>
        <w:t xml:space="preserve">§ </w:t>
      </w:r>
      <w:r>
        <w:rPr>
          <w:rFonts w:ascii="Times New Roman" w:hAnsi="Times New Roman" w:cs="Times New Roman"/>
          <w:b/>
          <w:bCs/>
          <w:sz w:val="23"/>
          <w:szCs w:val="23"/>
        </w:rPr>
        <w:t>51.252</w:t>
      </w:r>
    </w:p>
    <w:tbl>
      <w:tblPr>
        <w:tblStyle w:val="TableGrid"/>
        <w:tblW w:w="9535" w:type="dxa"/>
        <w:tblLook w:val="04A0" w:firstRow="1" w:lastRow="0" w:firstColumn="1" w:lastColumn="0" w:noHBand="0" w:noVBand="1"/>
      </w:tblPr>
      <w:tblGrid>
        <w:gridCol w:w="8185"/>
        <w:gridCol w:w="1350"/>
      </w:tblGrid>
      <w:tr w:rsidR="00B235FB" w:rsidRPr="00AD4BBA" w14:paraId="0527398E" w14:textId="77777777" w:rsidTr="00AD4BBA">
        <w:trPr>
          <w:trHeight w:val="251"/>
        </w:trPr>
        <w:tc>
          <w:tcPr>
            <w:tcW w:w="9535" w:type="dxa"/>
            <w:gridSpan w:val="2"/>
            <w:shd w:val="clear" w:color="auto" w:fill="D9D9D9" w:themeFill="background1" w:themeFillShade="D9"/>
          </w:tcPr>
          <w:p w14:paraId="249F0FA0" w14:textId="03DC7AE3" w:rsidR="00B235FB" w:rsidRPr="00AD4BBA" w:rsidRDefault="0076192C" w:rsidP="009F55F2">
            <w:pPr>
              <w:spacing w:after="120"/>
              <w:jc w:val="center"/>
              <w:rPr>
                <w:rFonts w:ascii="Times New Roman" w:hAnsi="Times New Roman" w:cs="Times New Roman"/>
                <w:b/>
                <w:bCs/>
              </w:rPr>
            </w:pPr>
            <w:r w:rsidRPr="00AD4BBA">
              <w:rPr>
                <w:rFonts w:ascii="Times New Roman" w:hAnsi="Times New Roman" w:cs="Times New Roman"/>
                <w:b/>
                <w:bCs/>
              </w:rPr>
              <w:t>Texas Education Code, Section 51.252</w:t>
            </w:r>
          </w:p>
        </w:tc>
      </w:tr>
      <w:tr w:rsidR="00B235FB" w:rsidRPr="00AD4BBA" w14:paraId="629B8221" w14:textId="77777777" w:rsidTr="00AD4BBA">
        <w:tc>
          <w:tcPr>
            <w:tcW w:w="8185" w:type="dxa"/>
            <w:shd w:val="clear" w:color="auto" w:fill="D9D9D9" w:themeFill="background1" w:themeFillShade="D9"/>
          </w:tcPr>
          <w:p w14:paraId="5E9356D7" w14:textId="39040380" w:rsidR="00B235FB" w:rsidRPr="00AD4BBA" w:rsidRDefault="004833F0" w:rsidP="001D52F3">
            <w:pPr>
              <w:rPr>
                <w:rFonts w:ascii="Times New Roman" w:hAnsi="Times New Roman" w:cs="Times New Roman"/>
                <w:b/>
                <w:bCs/>
              </w:rPr>
            </w:pPr>
            <w:r w:rsidRPr="00AD4BBA">
              <w:rPr>
                <w:rFonts w:ascii="Times New Roman" w:hAnsi="Times New Roman" w:cs="Times New Roman"/>
                <w:b/>
                <w:bCs/>
              </w:rPr>
              <w:t>Number of reports received under Section 51.252</w:t>
            </w:r>
            <w:r w:rsidR="00836465" w:rsidRPr="00AD4BBA">
              <w:rPr>
                <w:rStyle w:val="FootnoteReference"/>
                <w:rFonts w:ascii="Times New Roman" w:hAnsi="Times New Roman" w:cs="Times New Roman"/>
                <w:b/>
                <w:bCs/>
              </w:rPr>
              <w:footnoteReference w:id="3"/>
            </w:r>
          </w:p>
          <w:p w14:paraId="4CD7BA8D" w14:textId="23DFED2A" w:rsidR="00A8500D" w:rsidRPr="00AD4BBA" w:rsidRDefault="00A8500D" w:rsidP="001D52F3">
            <w:pPr>
              <w:rPr>
                <w:rFonts w:ascii="Times New Roman" w:hAnsi="Times New Roman" w:cs="Times New Roman"/>
              </w:rPr>
            </w:pPr>
            <w:r w:rsidRPr="00AD4BBA">
              <w:rPr>
                <w:rFonts w:ascii="Times New Roman" w:hAnsi="Times New Roman" w:cs="Times New Roman"/>
              </w:rPr>
              <w:t xml:space="preserve">     Number of confidential reports</w:t>
            </w:r>
            <w:r w:rsidR="00FD7AED" w:rsidRPr="00AD4BBA">
              <w:rPr>
                <w:rStyle w:val="FootnoteReference"/>
                <w:rFonts w:ascii="Times New Roman" w:hAnsi="Times New Roman" w:cs="Times New Roman"/>
              </w:rPr>
              <w:footnoteReference w:id="4"/>
            </w:r>
            <w:r w:rsidRPr="00AD4BBA">
              <w:rPr>
                <w:rFonts w:ascii="Times New Roman" w:hAnsi="Times New Roman" w:cs="Times New Roman"/>
              </w:rPr>
              <w:t xml:space="preserve"> under Section 51.252</w:t>
            </w:r>
          </w:p>
        </w:tc>
        <w:tc>
          <w:tcPr>
            <w:tcW w:w="1350" w:type="dxa"/>
          </w:tcPr>
          <w:p w14:paraId="31F0571E" w14:textId="29AF9471" w:rsidR="00421032" w:rsidRPr="00AD4BBA" w:rsidRDefault="00CB3EEB" w:rsidP="00421032">
            <w:pPr>
              <w:jc w:val="center"/>
              <w:rPr>
                <w:rFonts w:ascii="Times New Roman" w:hAnsi="Times New Roman" w:cs="Times New Roman"/>
                <w:b/>
                <w:bCs/>
              </w:rPr>
            </w:pPr>
            <w:r>
              <w:rPr>
                <w:rFonts w:ascii="Times New Roman" w:hAnsi="Times New Roman" w:cs="Times New Roman"/>
                <w:b/>
                <w:bCs/>
              </w:rPr>
              <w:t>6</w:t>
            </w:r>
          </w:p>
          <w:p w14:paraId="0B1C9562" w14:textId="54AB79DE" w:rsidR="001473F8" w:rsidRPr="00AD4BBA" w:rsidRDefault="00665A92" w:rsidP="00421032">
            <w:pPr>
              <w:jc w:val="center"/>
              <w:rPr>
                <w:rFonts w:ascii="Times New Roman" w:hAnsi="Times New Roman" w:cs="Times New Roman"/>
                <w:b/>
                <w:bCs/>
              </w:rPr>
            </w:pPr>
            <w:r>
              <w:rPr>
                <w:rFonts w:ascii="Times New Roman" w:hAnsi="Times New Roman" w:cs="Times New Roman"/>
                <w:b/>
                <w:bCs/>
              </w:rPr>
              <w:t>2</w:t>
            </w:r>
          </w:p>
        </w:tc>
      </w:tr>
      <w:tr w:rsidR="00B235FB" w:rsidRPr="00AD4BBA" w14:paraId="39224AB9" w14:textId="77777777" w:rsidTr="00AD4BBA">
        <w:tc>
          <w:tcPr>
            <w:tcW w:w="8185" w:type="dxa"/>
            <w:shd w:val="clear" w:color="auto" w:fill="D9D9D9" w:themeFill="background1" w:themeFillShade="D9"/>
          </w:tcPr>
          <w:p w14:paraId="5B856680" w14:textId="74178043" w:rsidR="00B235FB" w:rsidRPr="00AD4BBA" w:rsidRDefault="004712EC" w:rsidP="001D52F3">
            <w:pPr>
              <w:rPr>
                <w:rFonts w:ascii="Times New Roman" w:hAnsi="Times New Roman" w:cs="Times New Roman"/>
                <w:b/>
                <w:bCs/>
              </w:rPr>
            </w:pPr>
            <w:r w:rsidRPr="00AD4BBA">
              <w:rPr>
                <w:rFonts w:ascii="Times New Roman" w:hAnsi="Times New Roman" w:cs="Times New Roman"/>
                <w:b/>
                <w:bCs/>
              </w:rPr>
              <w:t>Number of initial assessments</w:t>
            </w:r>
            <w:r w:rsidR="00FD7AED" w:rsidRPr="00AD4BBA">
              <w:rPr>
                <w:rStyle w:val="FootnoteReference"/>
                <w:rFonts w:ascii="Times New Roman" w:hAnsi="Times New Roman" w:cs="Times New Roman"/>
                <w:b/>
                <w:bCs/>
              </w:rPr>
              <w:footnoteReference w:id="5"/>
            </w:r>
            <w:r w:rsidRPr="00AD4BBA">
              <w:rPr>
                <w:rFonts w:ascii="Times New Roman" w:hAnsi="Times New Roman" w:cs="Times New Roman"/>
                <w:b/>
                <w:bCs/>
              </w:rPr>
              <w:t xml:space="preserve"> conducted for reports under Section 51.252</w:t>
            </w:r>
          </w:p>
          <w:p w14:paraId="02DC084E" w14:textId="3E980A62" w:rsidR="004712EC" w:rsidRPr="00AD4BBA" w:rsidRDefault="004712EC" w:rsidP="001D52F3">
            <w:pPr>
              <w:rPr>
                <w:rFonts w:ascii="Times New Roman" w:hAnsi="Times New Roman" w:cs="Times New Roman"/>
              </w:rPr>
            </w:pPr>
            <w:r w:rsidRPr="00AD4BBA">
              <w:rPr>
                <w:rFonts w:ascii="Times New Roman" w:hAnsi="Times New Roman" w:cs="Times New Roman"/>
              </w:rPr>
              <w:t xml:space="preserve">     Number of investigations</w:t>
            </w:r>
            <w:r w:rsidR="00EE303C" w:rsidRPr="00AD4BBA">
              <w:rPr>
                <w:rStyle w:val="FootnoteReference"/>
                <w:rFonts w:ascii="Times New Roman" w:hAnsi="Times New Roman" w:cs="Times New Roman"/>
              </w:rPr>
              <w:footnoteReference w:id="6"/>
            </w:r>
            <w:r w:rsidRPr="00AD4BBA">
              <w:rPr>
                <w:rFonts w:ascii="Times New Roman" w:hAnsi="Times New Roman" w:cs="Times New Roman"/>
              </w:rPr>
              <w:t xml:space="preserve"> conducted under Section 51.252</w:t>
            </w:r>
          </w:p>
        </w:tc>
        <w:tc>
          <w:tcPr>
            <w:tcW w:w="1350" w:type="dxa"/>
          </w:tcPr>
          <w:p w14:paraId="0D2E2610" w14:textId="5E9AE189" w:rsidR="00C310AF" w:rsidRPr="00AD4BBA" w:rsidRDefault="002A5239" w:rsidP="00421032">
            <w:pPr>
              <w:jc w:val="center"/>
              <w:rPr>
                <w:rFonts w:ascii="Times New Roman" w:hAnsi="Times New Roman" w:cs="Times New Roman"/>
                <w:b/>
                <w:bCs/>
              </w:rPr>
            </w:pPr>
            <w:r>
              <w:rPr>
                <w:rFonts w:ascii="Times New Roman" w:hAnsi="Times New Roman" w:cs="Times New Roman"/>
                <w:b/>
                <w:bCs/>
              </w:rPr>
              <w:t>6</w:t>
            </w:r>
          </w:p>
          <w:p w14:paraId="4E37436B" w14:textId="6E13A248" w:rsidR="0089319C" w:rsidRPr="00AD4BBA" w:rsidRDefault="002A5239" w:rsidP="00421032">
            <w:pPr>
              <w:jc w:val="center"/>
              <w:rPr>
                <w:rFonts w:ascii="Times New Roman" w:hAnsi="Times New Roman" w:cs="Times New Roman"/>
                <w:b/>
                <w:bCs/>
              </w:rPr>
            </w:pPr>
            <w:r>
              <w:rPr>
                <w:rFonts w:ascii="Times New Roman" w:hAnsi="Times New Roman" w:cs="Times New Roman"/>
                <w:b/>
                <w:bCs/>
              </w:rPr>
              <w:t>0</w:t>
            </w:r>
          </w:p>
        </w:tc>
      </w:tr>
      <w:tr w:rsidR="00B235FB" w:rsidRPr="00AD4BBA" w14:paraId="750CA6B0" w14:textId="77777777" w:rsidTr="00AD4BBA">
        <w:tc>
          <w:tcPr>
            <w:tcW w:w="8185" w:type="dxa"/>
            <w:shd w:val="clear" w:color="auto" w:fill="D9D9D9" w:themeFill="background1" w:themeFillShade="D9"/>
          </w:tcPr>
          <w:p w14:paraId="696E403F" w14:textId="0C1A8EB1" w:rsidR="00B235FB" w:rsidRPr="00AD4BBA" w:rsidRDefault="000659D3" w:rsidP="001D52F3">
            <w:pPr>
              <w:rPr>
                <w:rFonts w:ascii="Times New Roman" w:hAnsi="Times New Roman" w:cs="Times New Roman"/>
                <w:b/>
                <w:bCs/>
              </w:rPr>
            </w:pPr>
            <w:r w:rsidRPr="00AD4BBA">
              <w:rPr>
                <w:rFonts w:ascii="Times New Roman" w:hAnsi="Times New Roman" w:cs="Times New Roman"/>
                <w:b/>
                <w:bCs/>
              </w:rPr>
              <w:t>Disposition</w:t>
            </w:r>
            <w:r w:rsidR="00754CB5" w:rsidRPr="00AD4BBA">
              <w:rPr>
                <w:rStyle w:val="FootnoteReference"/>
                <w:rFonts w:ascii="Times New Roman" w:hAnsi="Times New Roman" w:cs="Times New Roman"/>
                <w:b/>
                <w:bCs/>
              </w:rPr>
              <w:footnoteReference w:id="7"/>
            </w:r>
            <w:r w:rsidRPr="00AD4BBA">
              <w:rPr>
                <w:rFonts w:ascii="Times New Roman" w:hAnsi="Times New Roman" w:cs="Times New Roman"/>
                <w:b/>
                <w:bCs/>
              </w:rPr>
              <w:t xml:space="preserve"> of any disciplinary processes for reports under Section 51.252:</w:t>
            </w:r>
          </w:p>
          <w:p w14:paraId="5F1FB973" w14:textId="6C8B87D3" w:rsidR="000659D3" w:rsidRPr="00AD4BBA" w:rsidRDefault="000659D3" w:rsidP="001D52F3">
            <w:pPr>
              <w:pStyle w:val="ListParagraph"/>
              <w:numPr>
                <w:ilvl w:val="0"/>
                <w:numId w:val="1"/>
              </w:numPr>
              <w:ind w:left="662"/>
              <w:rPr>
                <w:rFonts w:ascii="Times New Roman" w:hAnsi="Times New Roman" w:cs="Times New Roman"/>
                <w:b/>
                <w:bCs/>
              </w:rPr>
            </w:pPr>
            <w:r w:rsidRPr="00AD4BBA">
              <w:rPr>
                <w:rFonts w:ascii="Times New Roman" w:hAnsi="Times New Roman" w:cs="Times New Roman"/>
                <w:b/>
                <w:bCs/>
              </w:rPr>
              <w:t>Concluded, No Finding of Policy Violation</w:t>
            </w:r>
            <w:r w:rsidR="009A68F0" w:rsidRPr="00AD4BBA">
              <w:rPr>
                <w:rStyle w:val="FootnoteReference"/>
                <w:rFonts w:ascii="Times New Roman" w:hAnsi="Times New Roman" w:cs="Times New Roman"/>
                <w:b/>
                <w:bCs/>
              </w:rPr>
              <w:footnoteReference w:id="8"/>
            </w:r>
          </w:p>
          <w:p w14:paraId="659C4D68" w14:textId="77777777" w:rsidR="000659D3" w:rsidRPr="00AD4BBA" w:rsidRDefault="00FB6EB6" w:rsidP="001D52F3">
            <w:pPr>
              <w:pStyle w:val="ListParagraph"/>
              <w:numPr>
                <w:ilvl w:val="0"/>
                <w:numId w:val="1"/>
              </w:numPr>
              <w:ind w:left="662"/>
              <w:rPr>
                <w:rFonts w:ascii="Times New Roman" w:hAnsi="Times New Roman" w:cs="Times New Roman"/>
                <w:b/>
                <w:bCs/>
              </w:rPr>
            </w:pPr>
            <w:r w:rsidRPr="00AD4BBA">
              <w:rPr>
                <w:rFonts w:ascii="Times New Roman" w:hAnsi="Times New Roman" w:cs="Times New Roman"/>
                <w:b/>
                <w:bCs/>
              </w:rPr>
              <w:t>Concluded, with Employee Disciplinary Sanction</w:t>
            </w:r>
          </w:p>
          <w:p w14:paraId="205420A8" w14:textId="77777777" w:rsidR="005A39A7" w:rsidRPr="00AD4BBA" w:rsidRDefault="005A39A7" w:rsidP="001D52F3">
            <w:pPr>
              <w:pStyle w:val="ListParagraph"/>
              <w:numPr>
                <w:ilvl w:val="0"/>
                <w:numId w:val="1"/>
              </w:numPr>
              <w:ind w:left="662"/>
              <w:rPr>
                <w:rFonts w:ascii="Times New Roman" w:hAnsi="Times New Roman" w:cs="Times New Roman"/>
                <w:b/>
                <w:bCs/>
              </w:rPr>
            </w:pPr>
            <w:r w:rsidRPr="00AD4BBA">
              <w:rPr>
                <w:rFonts w:ascii="Times New Roman" w:hAnsi="Times New Roman" w:cs="Times New Roman"/>
                <w:b/>
                <w:bCs/>
              </w:rPr>
              <w:t>Concluded, with Student Disciplinary Sanction</w:t>
            </w:r>
          </w:p>
          <w:p w14:paraId="7399666F" w14:textId="3EE2AEEC" w:rsidR="005A39A7" w:rsidRPr="00AD4BBA" w:rsidRDefault="005A39A7" w:rsidP="001D52F3">
            <w:pPr>
              <w:pStyle w:val="ListParagraph"/>
              <w:numPr>
                <w:ilvl w:val="0"/>
                <w:numId w:val="1"/>
              </w:numPr>
              <w:ind w:left="662"/>
              <w:rPr>
                <w:rFonts w:ascii="Times New Roman" w:hAnsi="Times New Roman" w:cs="Times New Roman"/>
                <w:b/>
                <w:bCs/>
              </w:rPr>
            </w:pPr>
            <w:r w:rsidRPr="00AD4BBA">
              <w:rPr>
                <w:rFonts w:ascii="Times New Roman" w:hAnsi="Times New Roman" w:cs="Times New Roman"/>
                <w:b/>
                <w:bCs/>
              </w:rPr>
              <w:t>SUBTOTAL</w:t>
            </w:r>
          </w:p>
        </w:tc>
        <w:tc>
          <w:tcPr>
            <w:tcW w:w="1350" w:type="dxa"/>
          </w:tcPr>
          <w:p w14:paraId="05FBABD7" w14:textId="77777777" w:rsidR="00C310AF" w:rsidRPr="00AD4BBA" w:rsidRDefault="00C310AF" w:rsidP="00421032">
            <w:pPr>
              <w:jc w:val="center"/>
              <w:rPr>
                <w:rFonts w:ascii="Times New Roman" w:hAnsi="Times New Roman" w:cs="Times New Roman"/>
                <w:b/>
                <w:bCs/>
              </w:rPr>
            </w:pPr>
          </w:p>
          <w:p w14:paraId="02570A64" w14:textId="5AFD2DD5" w:rsidR="00BB2C63" w:rsidRPr="00AD4BBA" w:rsidRDefault="00FD3903" w:rsidP="00421032">
            <w:pPr>
              <w:jc w:val="center"/>
              <w:rPr>
                <w:rFonts w:ascii="Times New Roman" w:hAnsi="Times New Roman" w:cs="Times New Roman"/>
                <w:b/>
                <w:bCs/>
              </w:rPr>
            </w:pPr>
            <w:r>
              <w:rPr>
                <w:rFonts w:ascii="Times New Roman" w:hAnsi="Times New Roman" w:cs="Times New Roman"/>
                <w:b/>
                <w:bCs/>
              </w:rPr>
              <w:t>0</w:t>
            </w:r>
          </w:p>
          <w:p w14:paraId="1D662F1A" w14:textId="2E7B34EE" w:rsidR="00C86F03" w:rsidRPr="00AD4BBA" w:rsidRDefault="00FD3903" w:rsidP="00421032">
            <w:pPr>
              <w:jc w:val="center"/>
              <w:rPr>
                <w:rFonts w:ascii="Times New Roman" w:hAnsi="Times New Roman" w:cs="Times New Roman"/>
                <w:b/>
                <w:bCs/>
              </w:rPr>
            </w:pPr>
            <w:r>
              <w:rPr>
                <w:rFonts w:ascii="Times New Roman" w:hAnsi="Times New Roman" w:cs="Times New Roman"/>
                <w:b/>
                <w:bCs/>
              </w:rPr>
              <w:t>0</w:t>
            </w:r>
          </w:p>
          <w:p w14:paraId="31558C34" w14:textId="2602AFE5" w:rsidR="00C86F03" w:rsidRPr="00AD4BBA" w:rsidRDefault="00FD3903" w:rsidP="00421032">
            <w:pPr>
              <w:jc w:val="center"/>
              <w:rPr>
                <w:rFonts w:ascii="Times New Roman" w:hAnsi="Times New Roman" w:cs="Times New Roman"/>
                <w:b/>
                <w:bCs/>
              </w:rPr>
            </w:pPr>
            <w:r>
              <w:rPr>
                <w:rFonts w:ascii="Times New Roman" w:hAnsi="Times New Roman" w:cs="Times New Roman"/>
                <w:b/>
                <w:bCs/>
              </w:rPr>
              <w:t>0</w:t>
            </w:r>
          </w:p>
          <w:p w14:paraId="5EFB9840" w14:textId="142B19C3" w:rsidR="00C86F03" w:rsidRPr="00AD4BBA" w:rsidRDefault="00FD3903" w:rsidP="00DF7A5B">
            <w:pPr>
              <w:jc w:val="center"/>
              <w:rPr>
                <w:rFonts w:ascii="Times New Roman" w:hAnsi="Times New Roman" w:cs="Times New Roman"/>
                <w:b/>
                <w:bCs/>
              </w:rPr>
            </w:pPr>
            <w:r>
              <w:rPr>
                <w:rFonts w:ascii="Times New Roman" w:hAnsi="Times New Roman" w:cs="Times New Roman"/>
                <w:b/>
                <w:bCs/>
              </w:rPr>
              <w:t>0</w:t>
            </w:r>
          </w:p>
        </w:tc>
      </w:tr>
      <w:tr w:rsidR="00B235FB" w:rsidRPr="00AD4BBA" w14:paraId="0BF73A4F" w14:textId="77777777" w:rsidTr="00AD4BBA">
        <w:tc>
          <w:tcPr>
            <w:tcW w:w="8185" w:type="dxa"/>
            <w:shd w:val="clear" w:color="auto" w:fill="D9D9D9" w:themeFill="background1" w:themeFillShade="D9"/>
          </w:tcPr>
          <w:p w14:paraId="0163AD2B" w14:textId="46D2FB7E" w:rsidR="00B35479" w:rsidRPr="00AD4BBA" w:rsidRDefault="003D2E90" w:rsidP="00A9486B">
            <w:pPr>
              <w:spacing w:after="120"/>
              <w:rPr>
                <w:rFonts w:ascii="Times New Roman" w:hAnsi="Times New Roman" w:cs="Times New Roman"/>
              </w:rPr>
            </w:pPr>
            <w:r w:rsidRPr="00AD4BBA">
              <w:rPr>
                <w:rFonts w:ascii="Times New Roman" w:hAnsi="Times New Roman" w:cs="Times New Roman"/>
              </w:rPr>
              <w:t>Number of reports under Section 51.252 for which the institution determined not to initiate a disciplinary process</w:t>
            </w:r>
            <w:r w:rsidR="00CB0186" w:rsidRPr="00AD4BBA">
              <w:rPr>
                <w:rStyle w:val="FootnoteReference"/>
                <w:rFonts w:ascii="Times New Roman" w:hAnsi="Times New Roman" w:cs="Times New Roman"/>
              </w:rPr>
              <w:footnoteReference w:id="9"/>
            </w:r>
          </w:p>
        </w:tc>
        <w:tc>
          <w:tcPr>
            <w:tcW w:w="1350" w:type="dxa"/>
          </w:tcPr>
          <w:p w14:paraId="67F70E94" w14:textId="5636905F" w:rsidR="00B235FB" w:rsidRPr="00AD4BBA" w:rsidRDefault="004739C2" w:rsidP="00421032">
            <w:pPr>
              <w:jc w:val="center"/>
              <w:rPr>
                <w:rFonts w:ascii="Times New Roman" w:hAnsi="Times New Roman" w:cs="Times New Roman"/>
                <w:b/>
                <w:bCs/>
              </w:rPr>
            </w:pPr>
            <w:r>
              <w:rPr>
                <w:rFonts w:ascii="Times New Roman" w:hAnsi="Times New Roman" w:cs="Times New Roman"/>
                <w:b/>
                <w:bCs/>
              </w:rPr>
              <w:t>6</w:t>
            </w:r>
          </w:p>
        </w:tc>
      </w:tr>
      <w:tr w:rsidR="00725CCC" w:rsidRPr="00AD4BBA" w14:paraId="4BD6BD96" w14:textId="77777777" w:rsidTr="00AD4BBA">
        <w:tc>
          <w:tcPr>
            <w:tcW w:w="9535" w:type="dxa"/>
            <w:gridSpan w:val="2"/>
            <w:shd w:val="clear" w:color="auto" w:fill="D9D9D9" w:themeFill="background1" w:themeFillShade="D9"/>
          </w:tcPr>
          <w:p w14:paraId="7E9F99A8" w14:textId="45260E7B" w:rsidR="00725CCC" w:rsidRPr="00AD4BBA" w:rsidRDefault="00725CCC" w:rsidP="00421032">
            <w:pPr>
              <w:jc w:val="center"/>
              <w:rPr>
                <w:rFonts w:ascii="Times New Roman" w:hAnsi="Times New Roman" w:cs="Times New Roman"/>
                <w:b/>
                <w:bCs/>
              </w:rPr>
            </w:pPr>
            <w:r w:rsidRPr="00AD4BBA">
              <w:rPr>
                <w:rFonts w:ascii="Times New Roman" w:hAnsi="Times New Roman" w:cs="Times New Roman"/>
                <w:b/>
                <w:bCs/>
              </w:rPr>
              <w:t>Texas Education Code, Section 51.255</w:t>
            </w:r>
          </w:p>
        </w:tc>
      </w:tr>
      <w:tr w:rsidR="00725CCC" w:rsidRPr="00AD4BBA" w14:paraId="7089A5FB" w14:textId="77777777" w:rsidTr="00AD4BBA">
        <w:tc>
          <w:tcPr>
            <w:tcW w:w="8185" w:type="dxa"/>
            <w:shd w:val="clear" w:color="auto" w:fill="D9D9D9" w:themeFill="background1" w:themeFillShade="D9"/>
          </w:tcPr>
          <w:p w14:paraId="14DD9942" w14:textId="58A3ABF5" w:rsidR="00725CCC" w:rsidRPr="00AD4BBA" w:rsidRDefault="00725CCC" w:rsidP="00A9486B">
            <w:pPr>
              <w:spacing w:after="120"/>
              <w:rPr>
                <w:rFonts w:ascii="Times New Roman" w:hAnsi="Times New Roman" w:cs="Times New Roman"/>
              </w:rPr>
            </w:pPr>
            <w:r w:rsidRPr="00AD4BBA">
              <w:rPr>
                <w:rFonts w:ascii="Times New Roman" w:hAnsi="Times New Roman" w:cs="Times New Roman"/>
              </w:rPr>
              <w:t>Number of reports received that include allegations of an employee’s failure to report or who submits a false report to the institution under Section 51.255(a)</w:t>
            </w:r>
          </w:p>
        </w:tc>
        <w:tc>
          <w:tcPr>
            <w:tcW w:w="1350" w:type="dxa"/>
          </w:tcPr>
          <w:p w14:paraId="144D3226" w14:textId="37A89293" w:rsidR="00725CCC" w:rsidRPr="00AD4BBA" w:rsidRDefault="00B33B50" w:rsidP="00421032">
            <w:pPr>
              <w:jc w:val="center"/>
              <w:rPr>
                <w:rFonts w:ascii="Times New Roman" w:hAnsi="Times New Roman" w:cs="Times New Roman"/>
                <w:b/>
                <w:bCs/>
              </w:rPr>
            </w:pPr>
            <w:r w:rsidRPr="00AD4BBA">
              <w:rPr>
                <w:rFonts w:ascii="Times New Roman" w:hAnsi="Times New Roman" w:cs="Times New Roman"/>
                <w:b/>
                <w:bCs/>
              </w:rPr>
              <w:t>0</w:t>
            </w:r>
          </w:p>
        </w:tc>
      </w:tr>
      <w:tr w:rsidR="00725CCC" w:rsidRPr="00AD4BBA" w14:paraId="776EA086" w14:textId="77777777" w:rsidTr="00AD4BBA">
        <w:tc>
          <w:tcPr>
            <w:tcW w:w="8185" w:type="dxa"/>
            <w:shd w:val="clear" w:color="auto" w:fill="D9D9D9" w:themeFill="background1" w:themeFillShade="D9"/>
          </w:tcPr>
          <w:p w14:paraId="59DE19A3" w14:textId="77777777" w:rsidR="00725CCC" w:rsidRPr="00AD4BBA" w:rsidRDefault="00725CCC" w:rsidP="003750E8">
            <w:pPr>
              <w:rPr>
                <w:rFonts w:ascii="Times New Roman" w:hAnsi="Times New Roman" w:cs="Times New Roman"/>
              </w:rPr>
            </w:pPr>
            <w:r w:rsidRPr="00AD4BBA">
              <w:rPr>
                <w:rFonts w:ascii="Times New Roman" w:hAnsi="Times New Roman" w:cs="Times New Roman"/>
              </w:rPr>
              <w:t xml:space="preserve">Any disciplinary action taken, regarding failure to report or false reports to the </w:t>
            </w:r>
          </w:p>
          <w:p w14:paraId="388A7A7A" w14:textId="77777777" w:rsidR="00725CCC" w:rsidRPr="00AD4BBA" w:rsidRDefault="00725CCC" w:rsidP="00725CCC">
            <w:pPr>
              <w:rPr>
                <w:rFonts w:ascii="Times New Roman" w:hAnsi="Times New Roman" w:cs="Times New Roman"/>
              </w:rPr>
            </w:pPr>
            <w:r w:rsidRPr="00AD4BBA">
              <w:rPr>
                <w:rFonts w:ascii="Times New Roman" w:hAnsi="Times New Roman" w:cs="Times New Roman"/>
              </w:rPr>
              <w:t xml:space="preserve">institution under </w:t>
            </w:r>
            <w:r w:rsidRPr="00AD4BBA">
              <w:rPr>
                <w:rFonts w:ascii="Times New Roman" w:hAnsi="Times New Roman" w:cs="Times New Roman"/>
                <w:b/>
                <w:bCs/>
              </w:rPr>
              <w:t>Section 51.255(c):</w:t>
            </w:r>
            <w:r w:rsidRPr="00AD4BBA">
              <w:rPr>
                <w:rFonts w:ascii="Times New Roman" w:hAnsi="Times New Roman" w:cs="Times New Roman"/>
              </w:rPr>
              <w:t xml:space="preserve"> </w:t>
            </w:r>
          </w:p>
          <w:p w14:paraId="33896241" w14:textId="77777777" w:rsidR="00725CCC" w:rsidRPr="00AD4BBA" w:rsidRDefault="00725CCC" w:rsidP="00725CCC">
            <w:pPr>
              <w:rPr>
                <w:rFonts w:ascii="Times New Roman" w:hAnsi="Times New Roman" w:cs="Times New Roman"/>
              </w:rPr>
            </w:pPr>
            <w:r w:rsidRPr="00AD4BBA">
              <w:rPr>
                <w:rFonts w:ascii="Times New Roman" w:hAnsi="Times New Roman" w:cs="Times New Roman"/>
              </w:rPr>
              <w:t>a. Employee termination</w:t>
            </w:r>
          </w:p>
          <w:p w14:paraId="0FD98A1C" w14:textId="388B197A" w:rsidR="00725CCC" w:rsidRPr="00AD4BBA" w:rsidRDefault="00725CCC" w:rsidP="00725CCC">
            <w:pPr>
              <w:spacing w:after="120"/>
              <w:rPr>
                <w:rFonts w:ascii="Times New Roman" w:hAnsi="Times New Roman" w:cs="Times New Roman"/>
              </w:rPr>
            </w:pPr>
            <w:r w:rsidRPr="00AD4BBA">
              <w:rPr>
                <w:rFonts w:ascii="Times New Roman" w:hAnsi="Times New Roman" w:cs="Times New Roman"/>
              </w:rPr>
              <w:t>b. Institutional intent to termination, in lieu of employee resignation</w:t>
            </w:r>
          </w:p>
        </w:tc>
        <w:tc>
          <w:tcPr>
            <w:tcW w:w="1350" w:type="dxa"/>
          </w:tcPr>
          <w:p w14:paraId="091D0631" w14:textId="77777777" w:rsidR="00855E2B" w:rsidRPr="00AD4BBA" w:rsidRDefault="00855E2B" w:rsidP="00421032">
            <w:pPr>
              <w:jc w:val="center"/>
              <w:rPr>
                <w:rFonts w:ascii="Times New Roman" w:hAnsi="Times New Roman" w:cs="Times New Roman"/>
                <w:b/>
                <w:bCs/>
              </w:rPr>
            </w:pPr>
          </w:p>
          <w:p w14:paraId="2DB0D04F" w14:textId="77777777" w:rsidR="00855E2B" w:rsidRPr="00AD4BBA" w:rsidRDefault="00855E2B" w:rsidP="00421032">
            <w:pPr>
              <w:jc w:val="center"/>
              <w:rPr>
                <w:rFonts w:ascii="Times New Roman" w:hAnsi="Times New Roman" w:cs="Times New Roman"/>
                <w:b/>
                <w:bCs/>
              </w:rPr>
            </w:pPr>
          </w:p>
          <w:p w14:paraId="6F65FC11" w14:textId="03BE1178" w:rsidR="00725CCC" w:rsidRPr="00AD4BBA" w:rsidRDefault="00B33B50" w:rsidP="00421032">
            <w:pPr>
              <w:jc w:val="center"/>
              <w:rPr>
                <w:rFonts w:ascii="Times New Roman" w:hAnsi="Times New Roman" w:cs="Times New Roman"/>
                <w:b/>
                <w:bCs/>
              </w:rPr>
            </w:pPr>
            <w:r w:rsidRPr="00AD4BBA">
              <w:rPr>
                <w:rFonts w:ascii="Times New Roman" w:hAnsi="Times New Roman" w:cs="Times New Roman"/>
                <w:b/>
                <w:bCs/>
              </w:rPr>
              <w:t>0</w:t>
            </w:r>
          </w:p>
          <w:p w14:paraId="27941822" w14:textId="0537CC86" w:rsidR="00B33B50" w:rsidRPr="00AD4BBA" w:rsidRDefault="00B33B50" w:rsidP="00421032">
            <w:pPr>
              <w:jc w:val="center"/>
              <w:rPr>
                <w:rFonts w:ascii="Times New Roman" w:hAnsi="Times New Roman" w:cs="Times New Roman"/>
                <w:b/>
                <w:bCs/>
              </w:rPr>
            </w:pPr>
            <w:r w:rsidRPr="00AD4BBA">
              <w:rPr>
                <w:rFonts w:ascii="Times New Roman" w:hAnsi="Times New Roman" w:cs="Times New Roman"/>
                <w:b/>
                <w:bCs/>
              </w:rPr>
              <w:t>0</w:t>
            </w:r>
          </w:p>
        </w:tc>
      </w:tr>
    </w:tbl>
    <w:p w14:paraId="5530C64D" w14:textId="77777777" w:rsidR="00CB0186" w:rsidRPr="00AD4BBA" w:rsidRDefault="00CB0186" w:rsidP="00FE4E57">
      <w:pPr>
        <w:spacing w:after="120" w:line="240" w:lineRule="auto"/>
        <w:rPr>
          <w:rFonts w:ascii="Times New Roman" w:hAnsi="Times New Roman" w:cs="Times New Roman"/>
          <w:b/>
          <w:bCs/>
        </w:rPr>
      </w:pPr>
    </w:p>
    <w:sectPr w:rsidR="00CB0186" w:rsidRPr="00AD4BBA" w:rsidSect="0091784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F3CE8" w14:textId="77777777" w:rsidR="00120B09" w:rsidRDefault="00120B09" w:rsidP="00246003">
      <w:pPr>
        <w:spacing w:after="0" w:line="240" w:lineRule="auto"/>
      </w:pPr>
      <w:r>
        <w:separator/>
      </w:r>
    </w:p>
  </w:endnote>
  <w:endnote w:type="continuationSeparator" w:id="0">
    <w:p w14:paraId="5EE34AF8" w14:textId="77777777" w:rsidR="00120B09" w:rsidRDefault="00120B09" w:rsidP="00246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160A2" w14:textId="77777777" w:rsidR="001411F8" w:rsidRDefault="001411F8" w:rsidP="00FE4E57">
    <w:pPr>
      <w:pStyle w:val="Footer"/>
      <w:rPr>
        <w:rFonts w:ascii="Times New Roman" w:hAnsi="Times New Roman" w:cs="Times New Roman"/>
        <w:sz w:val="24"/>
        <w:szCs w:val="24"/>
      </w:rPr>
    </w:pPr>
  </w:p>
  <w:p w14:paraId="08B9FE34" w14:textId="77777777" w:rsidR="001411F8" w:rsidRDefault="001411F8">
    <w:pPr>
      <w:pStyle w:val="Footer"/>
      <w:jc w:val="right"/>
      <w:rPr>
        <w:rFonts w:ascii="Times New Roman" w:hAnsi="Times New Roman" w:cs="Times New Roman"/>
        <w:sz w:val="24"/>
        <w:szCs w:val="24"/>
      </w:rPr>
    </w:pPr>
  </w:p>
  <w:p w14:paraId="7D877481" w14:textId="291AA469" w:rsidR="002A7128" w:rsidRPr="003E460D" w:rsidRDefault="003E460D" w:rsidP="003E460D">
    <w:pPr>
      <w:pStyle w:val="Footer"/>
      <w:rPr>
        <w:rFonts w:ascii="Times New Roman" w:hAnsi="Times New Roman" w:cs="Times New Roman"/>
        <w:sz w:val="20"/>
        <w:szCs w:val="20"/>
      </w:rPr>
    </w:pPr>
    <w:r>
      <w:rPr>
        <w:rFonts w:ascii="Times New Roman" w:hAnsi="Times New Roman" w:cs="Times New Roman"/>
        <w:sz w:val="20"/>
        <w:szCs w:val="20"/>
      </w:rPr>
      <w:t xml:space="preserve">OLLU </w:t>
    </w:r>
    <w:r w:rsidR="00744FE5" w:rsidRPr="003E460D">
      <w:rPr>
        <w:rFonts w:ascii="Times New Roman" w:hAnsi="Times New Roman" w:cs="Times New Roman"/>
        <w:sz w:val="20"/>
        <w:szCs w:val="20"/>
      </w:rPr>
      <w:t>Title IX</w:t>
    </w:r>
    <w:r>
      <w:rPr>
        <w:rFonts w:ascii="Times New Roman" w:hAnsi="Times New Roman" w:cs="Times New Roman"/>
        <w:sz w:val="20"/>
        <w:szCs w:val="20"/>
      </w:rPr>
      <w:t>-</w:t>
    </w:r>
    <w:r w:rsidR="00744FE5" w:rsidRPr="003E460D">
      <w:rPr>
        <w:rFonts w:ascii="Times New Roman" w:hAnsi="Times New Roman" w:cs="Times New Roman"/>
        <w:sz w:val="20"/>
        <w:szCs w:val="20"/>
      </w:rPr>
      <w:t xml:space="preserve"> </w:t>
    </w:r>
    <w:r w:rsidRPr="003E460D">
      <w:rPr>
        <w:rFonts w:ascii="Times New Roman" w:hAnsi="Times New Roman" w:cs="Times New Roman"/>
        <w:sz w:val="20"/>
        <w:szCs w:val="20"/>
      </w:rPr>
      <w:t xml:space="preserve">Tex. Educ. Code § 51.253(a) </w:t>
    </w:r>
    <w:r w:rsidR="00744FE5" w:rsidRPr="003E460D">
      <w:rPr>
        <w:rFonts w:ascii="Times New Roman" w:hAnsi="Times New Roman" w:cs="Times New Roman"/>
        <w:sz w:val="20"/>
        <w:szCs w:val="20"/>
      </w:rPr>
      <w:t>Report</w:t>
    </w:r>
    <w:r w:rsidR="00982C69">
      <w:rPr>
        <w:rFonts w:ascii="Times New Roman" w:hAnsi="Times New Roman" w:cs="Times New Roman"/>
        <w:sz w:val="20"/>
        <w:szCs w:val="20"/>
      </w:rPr>
      <w:t>-</w:t>
    </w:r>
    <w:r>
      <w:rPr>
        <w:rFonts w:ascii="Times New Roman" w:hAnsi="Times New Roman" w:cs="Times New Roman"/>
        <w:sz w:val="20"/>
        <w:szCs w:val="20"/>
      </w:rPr>
      <w:t xml:space="preserve"> </w:t>
    </w:r>
    <w:sdt>
      <w:sdtPr>
        <w:rPr>
          <w:rFonts w:ascii="Times New Roman" w:hAnsi="Times New Roman" w:cs="Times New Roman"/>
          <w:sz w:val="20"/>
          <w:szCs w:val="20"/>
        </w:rPr>
        <w:id w:val="-697003019"/>
        <w:docPartObj>
          <w:docPartGallery w:val="Page Numbers (Bottom of Page)"/>
          <w:docPartUnique/>
        </w:docPartObj>
      </w:sdtPr>
      <w:sdtContent>
        <w:sdt>
          <w:sdtPr>
            <w:rPr>
              <w:rFonts w:ascii="Times New Roman" w:hAnsi="Times New Roman" w:cs="Times New Roman"/>
              <w:sz w:val="20"/>
              <w:szCs w:val="20"/>
            </w:rPr>
            <w:id w:val="-1769616900"/>
            <w:docPartObj>
              <w:docPartGallery w:val="Page Numbers (Top of Page)"/>
              <w:docPartUnique/>
            </w:docPartObj>
          </w:sdtPr>
          <w:sdtContent>
            <w:r w:rsidR="00E64CC3">
              <w:rPr>
                <w:rFonts w:ascii="Times New Roman" w:hAnsi="Times New Roman" w:cs="Times New Roman"/>
                <w:sz w:val="20"/>
                <w:szCs w:val="20"/>
              </w:rPr>
              <w:t>2025-2026</w:t>
            </w:r>
            <w:r w:rsidR="003A55A5" w:rsidRPr="003E460D">
              <w:rPr>
                <w:rFonts w:ascii="Times New Roman" w:hAnsi="Times New Roman" w:cs="Times New Roman"/>
                <w:sz w:val="20"/>
                <w:szCs w:val="20"/>
              </w:rPr>
              <w:t xml:space="preserve"> </w:t>
            </w:r>
            <w:r w:rsidR="00E64CC3">
              <w:rPr>
                <w:rFonts w:ascii="Times New Roman" w:hAnsi="Times New Roman" w:cs="Times New Roman"/>
                <w:sz w:val="20"/>
                <w:szCs w:val="20"/>
              </w:rPr>
              <w:t>First</w:t>
            </w:r>
            <w:r w:rsidR="003A55A5" w:rsidRPr="003E460D">
              <w:rPr>
                <w:rFonts w:ascii="Times New Roman" w:hAnsi="Times New Roman" w:cs="Times New Roman"/>
                <w:sz w:val="20"/>
                <w:szCs w:val="20"/>
              </w:rPr>
              <w:t xml:space="preserve"> </w:t>
            </w:r>
            <w:r w:rsidR="00B53737" w:rsidRPr="003E460D">
              <w:rPr>
                <w:rFonts w:ascii="Times New Roman" w:hAnsi="Times New Roman" w:cs="Times New Roman"/>
                <w:sz w:val="20"/>
                <w:szCs w:val="20"/>
              </w:rPr>
              <w:t>Quarter</w:t>
            </w:r>
            <w:r w:rsidR="00F27C1F" w:rsidRPr="003E460D">
              <w:rPr>
                <w:rFonts w:ascii="Times New Roman" w:hAnsi="Times New Roman" w:cs="Times New Roman"/>
                <w:sz w:val="20"/>
                <w:szCs w:val="20"/>
              </w:rPr>
              <w:t xml:space="preserve">                   </w:t>
            </w:r>
            <w:r w:rsidR="00982C69">
              <w:rPr>
                <w:rFonts w:ascii="Times New Roman" w:hAnsi="Times New Roman" w:cs="Times New Roman"/>
                <w:sz w:val="20"/>
                <w:szCs w:val="20"/>
              </w:rPr>
              <w:t xml:space="preserve">          </w:t>
            </w:r>
            <w:r w:rsidR="00F27C1F" w:rsidRPr="003E460D">
              <w:rPr>
                <w:rFonts w:ascii="Times New Roman" w:hAnsi="Times New Roman" w:cs="Times New Roman"/>
                <w:sz w:val="20"/>
                <w:szCs w:val="20"/>
              </w:rPr>
              <w:t xml:space="preserve">         P</w:t>
            </w:r>
            <w:r w:rsidR="002A7128" w:rsidRPr="003E460D">
              <w:rPr>
                <w:rFonts w:ascii="Times New Roman" w:hAnsi="Times New Roman" w:cs="Times New Roman"/>
                <w:sz w:val="20"/>
                <w:szCs w:val="20"/>
              </w:rPr>
              <w:t xml:space="preserve">age </w:t>
            </w:r>
            <w:r w:rsidR="002A7128" w:rsidRPr="003E460D">
              <w:rPr>
                <w:rFonts w:ascii="Times New Roman" w:hAnsi="Times New Roman" w:cs="Times New Roman"/>
                <w:b/>
                <w:bCs/>
                <w:sz w:val="20"/>
                <w:szCs w:val="20"/>
              </w:rPr>
              <w:fldChar w:fldCharType="begin"/>
            </w:r>
            <w:r w:rsidR="002A7128" w:rsidRPr="003E460D">
              <w:rPr>
                <w:rFonts w:ascii="Times New Roman" w:hAnsi="Times New Roman" w:cs="Times New Roman"/>
                <w:b/>
                <w:bCs/>
                <w:sz w:val="20"/>
                <w:szCs w:val="20"/>
              </w:rPr>
              <w:instrText xml:space="preserve"> PAGE </w:instrText>
            </w:r>
            <w:r w:rsidR="002A7128" w:rsidRPr="003E460D">
              <w:rPr>
                <w:rFonts w:ascii="Times New Roman" w:hAnsi="Times New Roman" w:cs="Times New Roman"/>
                <w:b/>
                <w:bCs/>
                <w:sz w:val="20"/>
                <w:szCs w:val="20"/>
              </w:rPr>
              <w:fldChar w:fldCharType="separate"/>
            </w:r>
            <w:r w:rsidR="002A7128" w:rsidRPr="003E460D">
              <w:rPr>
                <w:rFonts w:ascii="Times New Roman" w:hAnsi="Times New Roman" w:cs="Times New Roman"/>
                <w:b/>
                <w:bCs/>
                <w:noProof/>
                <w:sz w:val="20"/>
                <w:szCs w:val="20"/>
              </w:rPr>
              <w:t>2</w:t>
            </w:r>
            <w:r w:rsidR="002A7128" w:rsidRPr="003E460D">
              <w:rPr>
                <w:rFonts w:ascii="Times New Roman" w:hAnsi="Times New Roman" w:cs="Times New Roman"/>
                <w:b/>
                <w:bCs/>
                <w:sz w:val="20"/>
                <w:szCs w:val="20"/>
              </w:rPr>
              <w:fldChar w:fldCharType="end"/>
            </w:r>
            <w:r w:rsidR="002A7128" w:rsidRPr="003E460D">
              <w:rPr>
                <w:rFonts w:ascii="Times New Roman" w:hAnsi="Times New Roman" w:cs="Times New Roman"/>
                <w:sz w:val="20"/>
                <w:szCs w:val="20"/>
              </w:rPr>
              <w:t xml:space="preserve"> of </w:t>
            </w:r>
            <w:r w:rsidR="002A7128" w:rsidRPr="003E460D">
              <w:rPr>
                <w:rFonts w:ascii="Times New Roman" w:hAnsi="Times New Roman" w:cs="Times New Roman"/>
                <w:b/>
                <w:bCs/>
                <w:sz w:val="20"/>
                <w:szCs w:val="20"/>
              </w:rPr>
              <w:fldChar w:fldCharType="begin"/>
            </w:r>
            <w:r w:rsidR="002A7128" w:rsidRPr="003E460D">
              <w:rPr>
                <w:rFonts w:ascii="Times New Roman" w:hAnsi="Times New Roman" w:cs="Times New Roman"/>
                <w:b/>
                <w:bCs/>
                <w:sz w:val="20"/>
                <w:szCs w:val="20"/>
              </w:rPr>
              <w:instrText xml:space="preserve"> NUMPAGES  </w:instrText>
            </w:r>
            <w:r w:rsidR="002A7128" w:rsidRPr="003E460D">
              <w:rPr>
                <w:rFonts w:ascii="Times New Roman" w:hAnsi="Times New Roman" w:cs="Times New Roman"/>
                <w:b/>
                <w:bCs/>
                <w:sz w:val="20"/>
                <w:szCs w:val="20"/>
              </w:rPr>
              <w:fldChar w:fldCharType="separate"/>
            </w:r>
            <w:r w:rsidR="002A7128" w:rsidRPr="003E460D">
              <w:rPr>
                <w:rFonts w:ascii="Times New Roman" w:hAnsi="Times New Roman" w:cs="Times New Roman"/>
                <w:b/>
                <w:bCs/>
                <w:noProof/>
                <w:sz w:val="20"/>
                <w:szCs w:val="20"/>
              </w:rPr>
              <w:t>2</w:t>
            </w:r>
            <w:r w:rsidR="002A7128" w:rsidRPr="003E460D">
              <w:rPr>
                <w:rFonts w:ascii="Times New Roman" w:hAnsi="Times New Roman" w:cs="Times New Roman"/>
                <w:b/>
                <w:bCs/>
                <w:sz w:val="20"/>
                <w:szCs w:val="20"/>
              </w:rPr>
              <w:fldChar w:fldCharType="end"/>
            </w:r>
          </w:sdtContent>
        </w:sdt>
      </w:sdtContent>
    </w:sdt>
  </w:p>
  <w:p w14:paraId="0D6F8213" w14:textId="77777777" w:rsidR="002A7128" w:rsidRDefault="002A71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75E70" w14:textId="77777777" w:rsidR="00120B09" w:rsidRDefault="00120B09" w:rsidP="00246003">
      <w:pPr>
        <w:spacing w:after="0" w:line="240" w:lineRule="auto"/>
      </w:pPr>
      <w:r>
        <w:separator/>
      </w:r>
    </w:p>
  </w:footnote>
  <w:footnote w:type="continuationSeparator" w:id="0">
    <w:p w14:paraId="2D5BF2CB" w14:textId="77777777" w:rsidR="00120B09" w:rsidRDefault="00120B09" w:rsidP="00246003">
      <w:pPr>
        <w:spacing w:after="0" w:line="240" w:lineRule="auto"/>
      </w:pPr>
      <w:r>
        <w:continuationSeparator/>
      </w:r>
    </w:p>
  </w:footnote>
  <w:footnote w:id="1">
    <w:p w14:paraId="73913851" w14:textId="77777777" w:rsidR="00167895" w:rsidRPr="001E5D76" w:rsidRDefault="00167895" w:rsidP="00167895">
      <w:pPr>
        <w:pStyle w:val="FootnoteText"/>
        <w:rPr>
          <w:rFonts w:ascii="Times New Roman" w:hAnsi="Times New Roman" w:cs="Times New Roman"/>
          <w:sz w:val="16"/>
          <w:szCs w:val="16"/>
        </w:rPr>
      </w:pPr>
      <w:r w:rsidRPr="001E5D76">
        <w:rPr>
          <w:rStyle w:val="FootnoteReference"/>
          <w:rFonts w:ascii="Times New Roman" w:hAnsi="Times New Roman" w:cs="Times New Roman"/>
          <w:sz w:val="16"/>
          <w:szCs w:val="16"/>
        </w:rPr>
        <w:footnoteRef/>
      </w:r>
      <w:r w:rsidRPr="001E5D76">
        <w:rPr>
          <w:rFonts w:ascii="Times New Roman" w:hAnsi="Times New Roman" w:cs="Times New Roman"/>
          <w:sz w:val="16"/>
          <w:szCs w:val="16"/>
        </w:rPr>
        <w:t xml:space="preserve"> When identifiable, duplicate reports were consolidated into one case number and counted as one report in the summary data, and confidential employee reporting is noted by case number and as a sub-set to the total number of reports received. </w:t>
      </w:r>
    </w:p>
    <w:p w14:paraId="252A8287" w14:textId="77777777" w:rsidR="00167895" w:rsidRPr="001E5D76" w:rsidRDefault="00167895" w:rsidP="00167895">
      <w:pPr>
        <w:pStyle w:val="FootnoteText"/>
        <w:rPr>
          <w:rFonts w:ascii="Times New Roman" w:hAnsi="Times New Roman" w:cs="Times New Roman"/>
          <w:sz w:val="16"/>
          <w:szCs w:val="16"/>
        </w:rPr>
      </w:pPr>
    </w:p>
  </w:footnote>
  <w:footnote w:id="2">
    <w:p w14:paraId="6A94BD1D" w14:textId="77777777" w:rsidR="00CA28B1" w:rsidRDefault="00CA28B1" w:rsidP="00CA28B1">
      <w:pPr>
        <w:pStyle w:val="FootnoteText"/>
      </w:pPr>
      <w:r w:rsidRPr="001E5D76">
        <w:rPr>
          <w:rStyle w:val="FootnoteReference"/>
          <w:rFonts w:ascii="Times New Roman" w:hAnsi="Times New Roman" w:cs="Times New Roman"/>
          <w:sz w:val="16"/>
          <w:szCs w:val="16"/>
        </w:rPr>
        <w:footnoteRef/>
      </w:r>
      <w:r w:rsidRPr="001E5D76">
        <w:rPr>
          <w:rFonts w:ascii="Times New Roman" w:hAnsi="Times New Roman" w:cs="Times New Roman"/>
          <w:sz w:val="16"/>
          <w:szCs w:val="16"/>
        </w:rPr>
        <w:t xml:space="preserve"> For example, reports made by students and all other non-employees (including incidents under 3.5(d)(3)) are excluded from Appendices A and B. Additionally, if a Title IX Coordinator determines that the type of incident described in a report,</w:t>
      </w:r>
      <w:r w:rsidRPr="001E5D76">
        <w:rPr>
          <w:rFonts w:ascii="Times New Roman" w:hAnsi="Times New Roman" w:cs="Times New Roman"/>
        </w:rPr>
        <w:t xml:space="preserve"> </w:t>
      </w:r>
      <w:r w:rsidRPr="001E5D76">
        <w:rPr>
          <w:rFonts w:ascii="Times New Roman" w:hAnsi="Times New Roman" w:cs="Times New Roman"/>
          <w:sz w:val="16"/>
          <w:szCs w:val="16"/>
        </w:rPr>
        <w:t>as alleged, does not constitute “sexual harassment,” “sexual assault,” “dating violence,” or “stalking” as defined in the TEC, Section 51.251, the report is excluded from Appendices A and B. It is the responsibility of the Title IX Coordinator to assess each report received and determine whether it is properly included in this report, and if so, to correctly identify the type of incident.</w:t>
      </w:r>
    </w:p>
  </w:footnote>
  <w:footnote w:id="3">
    <w:p w14:paraId="4A4B0F65" w14:textId="4BB1CCD6" w:rsidR="00836465" w:rsidRPr="00836465" w:rsidRDefault="00836465">
      <w:pPr>
        <w:pStyle w:val="FootnoteText"/>
        <w:rPr>
          <w:rFonts w:ascii="Times New Roman" w:hAnsi="Times New Roman" w:cs="Times New Roman"/>
          <w:sz w:val="16"/>
          <w:szCs w:val="16"/>
        </w:rPr>
      </w:pPr>
      <w:r w:rsidRPr="003129B0">
        <w:rPr>
          <w:rStyle w:val="FootnoteReference"/>
          <w:rFonts w:ascii="Times New Roman" w:hAnsi="Times New Roman" w:cs="Times New Roman"/>
          <w:sz w:val="16"/>
          <w:szCs w:val="16"/>
        </w:rPr>
        <w:footnoteRef/>
      </w:r>
      <w:r>
        <w:t xml:space="preserve"> </w:t>
      </w:r>
      <w:r w:rsidRPr="00836465">
        <w:rPr>
          <w:rFonts w:ascii="Times New Roman" w:hAnsi="Times New Roman" w:cs="Times New Roman"/>
          <w:sz w:val="16"/>
          <w:szCs w:val="16"/>
        </w:rPr>
        <w:t>For example, reports made by students and all other non-employees (including incidents under 3.5(d)(3)) are excluded from Appendices A and B. Additionally, if a Title IX Coordinator determines that the type of incident described in a report, as alleged, does not constitute “sexual harassment,” “sexual assault,” “dating violence,” or “stalking” as defined in the TEC, Section 51.251, the report is excluded from Appendices A and B. It is the responsibility of the Title IX Coordinator to assess each report received and determine whether it is properly included in this report, and if so, to correctly identify the type of incident.</w:t>
      </w:r>
    </w:p>
  </w:footnote>
  <w:footnote w:id="4">
    <w:p w14:paraId="61C9ACCD" w14:textId="2695B9B5" w:rsidR="00FD7AED" w:rsidRDefault="00FD7AED">
      <w:pPr>
        <w:pStyle w:val="FootnoteText"/>
      </w:pPr>
      <w:r w:rsidRPr="003129B0">
        <w:rPr>
          <w:rStyle w:val="FootnoteReference"/>
          <w:rFonts w:ascii="Times New Roman" w:hAnsi="Times New Roman" w:cs="Times New Roman"/>
          <w:sz w:val="16"/>
          <w:szCs w:val="16"/>
        </w:rPr>
        <w:footnoteRef/>
      </w:r>
      <w:r w:rsidRPr="003129B0">
        <w:rPr>
          <w:rFonts w:ascii="Times New Roman" w:hAnsi="Times New Roman" w:cs="Times New Roman"/>
          <w:sz w:val="16"/>
          <w:szCs w:val="16"/>
        </w:rPr>
        <w:t xml:space="preserve"> </w:t>
      </w:r>
      <w:r w:rsidRPr="00FD7AED">
        <w:rPr>
          <w:rFonts w:ascii="Times New Roman" w:hAnsi="Times New Roman" w:cs="Times New Roman"/>
          <w:sz w:val="16"/>
          <w:szCs w:val="16"/>
        </w:rPr>
        <w:t>“Number of confidential reports” is a sub-set of the total number of reports that were received under Section 51.252, by a confidential employee or office (e.g., Counseling and Health Services, Confidential Advisors or Clergy).</w:t>
      </w:r>
    </w:p>
  </w:footnote>
  <w:footnote w:id="5">
    <w:p w14:paraId="44A07EDA" w14:textId="3BD03400" w:rsidR="00FD7AED" w:rsidRDefault="00FD7AED">
      <w:pPr>
        <w:pStyle w:val="FootnoteText"/>
      </w:pPr>
      <w:r w:rsidRPr="003129B0">
        <w:rPr>
          <w:rStyle w:val="FootnoteReference"/>
          <w:rFonts w:ascii="Times New Roman" w:hAnsi="Times New Roman" w:cs="Times New Roman"/>
          <w:sz w:val="16"/>
          <w:szCs w:val="16"/>
        </w:rPr>
        <w:footnoteRef/>
      </w:r>
      <w:r w:rsidRPr="003129B0">
        <w:rPr>
          <w:rFonts w:ascii="Times New Roman" w:hAnsi="Times New Roman" w:cs="Times New Roman"/>
          <w:sz w:val="16"/>
          <w:szCs w:val="16"/>
        </w:rPr>
        <w:t xml:space="preserve"> </w:t>
      </w:r>
      <w:r w:rsidR="00EE303C" w:rsidRPr="00EE303C">
        <w:rPr>
          <w:rFonts w:ascii="Times New Roman" w:hAnsi="Times New Roman" w:cs="Times New Roman"/>
          <w:sz w:val="16"/>
          <w:szCs w:val="16"/>
        </w:rPr>
        <w:t>“Number of initial assessments” refers to instances when the Title IX Coordinator conducts an initial assessment of the incident, usually in coordination with the Title IX Deputy Coordinator assigned to handle the complaint. Initial assessments, as described in the OLLU Title IX Sexual Misconduct Policy and Grievance Procedures, may include meeting with the reporter/complainant, issuing supportive measures, initiating a violence risk assessment and/or emergency removal, and determining the appropriate resolution process, including referral to Human Resources or Student Conduct for behavior related to sexual harassment or other sexual misconduct that is outside the scope of Title IX. Initial assessments are completed prior to the Informal Resolution and Formal Grievance Processes.</w:t>
      </w:r>
    </w:p>
  </w:footnote>
  <w:footnote w:id="6">
    <w:p w14:paraId="4AE39D89" w14:textId="28DD50EC" w:rsidR="00AF1B02" w:rsidRPr="00813979" w:rsidRDefault="00EE303C">
      <w:pPr>
        <w:pStyle w:val="FootnoteText"/>
        <w:rPr>
          <w:rFonts w:ascii="Times New Roman" w:hAnsi="Times New Roman" w:cs="Times New Roman"/>
          <w:sz w:val="16"/>
          <w:szCs w:val="16"/>
        </w:rPr>
      </w:pPr>
      <w:r w:rsidRPr="003129B0">
        <w:rPr>
          <w:rStyle w:val="FootnoteReference"/>
          <w:rFonts w:ascii="Times New Roman" w:hAnsi="Times New Roman" w:cs="Times New Roman"/>
          <w:sz w:val="16"/>
          <w:szCs w:val="16"/>
        </w:rPr>
        <w:footnoteRef/>
      </w:r>
      <w:r w:rsidRPr="003129B0">
        <w:rPr>
          <w:rFonts w:ascii="Times New Roman" w:hAnsi="Times New Roman" w:cs="Times New Roman"/>
          <w:sz w:val="16"/>
          <w:szCs w:val="16"/>
        </w:rPr>
        <w:t xml:space="preserve"> </w:t>
      </w:r>
      <w:r w:rsidR="00754CB5" w:rsidRPr="00754CB5">
        <w:rPr>
          <w:rFonts w:ascii="Times New Roman" w:hAnsi="Times New Roman" w:cs="Times New Roman"/>
          <w:sz w:val="16"/>
          <w:szCs w:val="16"/>
        </w:rPr>
        <w:t xml:space="preserve">“Number of investigations” is a sub-set of the total number of initial assessments that were received under Section 51.252. Title IX formal investigations are initiated when the Title IX Coordinator or Deputy Coordinator issues a written notice of the investigation and allegations to the respondent upon commencement of the Title IX Sexual Misconduct Formal Grievance Procedure, or alternatively, the Informal Resolution Process. The Formal Grievance Procedure is typically completed within 60- 90 calendar days of the complaint. </w:t>
      </w:r>
      <w:proofErr w:type="gramStart"/>
      <w:r w:rsidR="00754CB5" w:rsidRPr="00754CB5">
        <w:rPr>
          <w:rFonts w:ascii="Times New Roman" w:hAnsi="Times New Roman" w:cs="Times New Roman"/>
          <w:sz w:val="16"/>
          <w:szCs w:val="16"/>
        </w:rPr>
        <w:t>In the event that</w:t>
      </w:r>
      <w:proofErr w:type="gramEnd"/>
      <w:r w:rsidR="00754CB5" w:rsidRPr="00754CB5">
        <w:rPr>
          <w:rFonts w:ascii="Times New Roman" w:hAnsi="Times New Roman" w:cs="Times New Roman"/>
          <w:sz w:val="16"/>
          <w:szCs w:val="16"/>
        </w:rPr>
        <w:t xml:space="preserve"> extenuating circumstances warrant an investigation taking longer than 90 calendar days until resolution, the reasons for the delay will be documented in the case file. A simultaneous criminal investigation is an example of a situation that may warrant a delay. Other disciplinary investigations related to sexual harassment or other sexual misconduct that is outside the scope of Title IX are initiated when the Title IX Coordinator assesses the report and determines that the incident does not constitute sexual harassment as defined by the Title IX regulations (34 CFR § 106.30) but will be addressed using the appropriate resolution process.</w:t>
      </w:r>
    </w:p>
  </w:footnote>
  <w:footnote w:id="7">
    <w:p w14:paraId="71E0D578" w14:textId="5A41C31D" w:rsidR="00754CB5" w:rsidRDefault="00754CB5">
      <w:pPr>
        <w:pStyle w:val="FootnoteText"/>
      </w:pPr>
      <w:r w:rsidRPr="003129B0">
        <w:rPr>
          <w:rStyle w:val="FootnoteReference"/>
          <w:rFonts w:ascii="Times New Roman" w:hAnsi="Times New Roman" w:cs="Times New Roman"/>
          <w:sz w:val="16"/>
          <w:szCs w:val="16"/>
        </w:rPr>
        <w:footnoteRef/>
      </w:r>
      <w:r>
        <w:t xml:space="preserve"> </w:t>
      </w:r>
      <w:r w:rsidR="009A68F0" w:rsidRPr="009A68F0">
        <w:rPr>
          <w:rFonts w:ascii="Times New Roman" w:hAnsi="Times New Roman" w:cs="Times New Roman"/>
          <w:sz w:val="16"/>
          <w:szCs w:val="16"/>
        </w:rPr>
        <w:t xml:space="preserve">“Disposition” means “final result under the institution’s disciplinary process” as defined in the Texas Higher Education Coordinating Board’s (THECB) rules for TEC, Section 51.259 (See 19 Tex. Admin. Code Section 3.6(e) (2019)); therefore, pending disciplinary processes will not be listed until </w:t>
      </w:r>
      <w:proofErr w:type="gramStart"/>
      <w:r w:rsidR="009A68F0" w:rsidRPr="009A68F0">
        <w:rPr>
          <w:rFonts w:ascii="Times New Roman" w:hAnsi="Times New Roman" w:cs="Times New Roman"/>
          <w:sz w:val="16"/>
          <w:szCs w:val="16"/>
        </w:rPr>
        <w:t>the final result</w:t>
      </w:r>
      <w:proofErr w:type="gramEnd"/>
      <w:r w:rsidR="009A68F0" w:rsidRPr="009A68F0">
        <w:rPr>
          <w:rFonts w:ascii="Times New Roman" w:hAnsi="Times New Roman" w:cs="Times New Roman"/>
          <w:sz w:val="16"/>
          <w:szCs w:val="16"/>
        </w:rPr>
        <w:t xml:space="preserve"> is rendered.</w:t>
      </w:r>
    </w:p>
  </w:footnote>
  <w:footnote w:id="8">
    <w:p w14:paraId="3FE6A18A" w14:textId="5A79AB42" w:rsidR="009A68F0" w:rsidRDefault="009A68F0">
      <w:pPr>
        <w:pStyle w:val="FootnoteText"/>
      </w:pPr>
      <w:r w:rsidRPr="00CB0186">
        <w:rPr>
          <w:rStyle w:val="FootnoteReference"/>
          <w:sz w:val="16"/>
          <w:szCs w:val="16"/>
        </w:rPr>
        <w:footnoteRef/>
      </w:r>
      <w:r w:rsidRPr="00CB0186">
        <w:rPr>
          <w:sz w:val="16"/>
          <w:szCs w:val="16"/>
        </w:rPr>
        <w:t xml:space="preserve"> </w:t>
      </w:r>
      <w:r w:rsidR="00F24355" w:rsidRPr="00F24355">
        <w:rPr>
          <w:rFonts w:ascii="Times New Roman" w:hAnsi="Times New Roman" w:cs="Times New Roman"/>
          <w:sz w:val="16"/>
          <w:szCs w:val="16"/>
        </w:rPr>
        <w:t>“No Finding of a Policy Violation” in this section refers to instances where there is no finding of responsibility after a hearing or an appeal process; investigations completed with a preponderance of evidence not met are excluded, because it would not have moved forward into a disciplinary process.</w:t>
      </w:r>
    </w:p>
  </w:footnote>
  <w:footnote w:id="9">
    <w:p w14:paraId="2706EAB0" w14:textId="693CCC06" w:rsidR="00CB0186" w:rsidRDefault="00CB0186">
      <w:pPr>
        <w:pStyle w:val="FootnoteText"/>
      </w:pPr>
      <w:r w:rsidRPr="00CB0186">
        <w:rPr>
          <w:rStyle w:val="FootnoteReference"/>
          <w:rFonts w:ascii="Times New Roman" w:hAnsi="Times New Roman" w:cs="Times New Roman"/>
          <w:sz w:val="16"/>
          <w:szCs w:val="16"/>
        </w:rPr>
        <w:footnoteRef/>
      </w:r>
      <w:r w:rsidRPr="00CB0186">
        <w:rPr>
          <w:rFonts w:ascii="Times New Roman" w:hAnsi="Times New Roman" w:cs="Times New Roman"/>
          <w:sz w:val="16"/>
          <w:szCs w:val="16"/>
        </w:rPr>
        <w:t xml:space="preserve"> The institution may have determined “not to initiate a disciplinary process.” The reasons for not initiating a discipline process can include, but are not limited to: case dismissal; administrative closure; insufficient information to investigate; confidential employee reporting (no identifiable information); the respondent’s identity was</w:t>
      </w:r>
      <w:r>
        <w:t xml:space="preserve"> </w:t>
      </w:r>
      <w:r w:rsidRPr="00CB0186">
        <w:rPr>
          <w:rFonts w:ascii="Times New Roman" w:hAnsi="Times New Roman" w:cs="Times New Roman"/>
          <w:sz w:val="16"/>
          <w:szCs w:val="16"/>
        </w:rPr>
        <w:t>unknown or not reported; the institution had no jurisdiction; the complainant requested the institution not investigate the report; informal resolution was completed; investigation is ongoing; or investigation was completed with a preponderance of evidence not met. At OLLU, jurisdiction includes a complaint of sexual misconduct against a member of the OLLU community</w:t>
      </w:r>
      <w:r>
        <w:rPr>
          <w:rFonts w:ascii="Times New Roman" w:hAnsi="Times New Roman" w:cs="Times New Roman"/>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C303F"/>
    <w:multiLevelType w:val="hybridMultilevel"/>
    <w:tmpl w:val="52BA3306"/>
    <w:lvl w:ilvl="0" w:tplc="FB0CB32C">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16cid:durableId="1772428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003"/>
    <w:rsid w:val="000012A0"/>
    <w:rsid w:val="00015AF5"/>
    <w:rsid w:val="00016F16"/>
    <w:rsid w:val="00021A1E"/>
    <w:rsid w:val="000261A0"/>
    <w:rsid w:val="00032571"/>
    <w:rsid w:val="000569EB"/>
    <w:rsid w:val="000659D3"/>
    <w:rsid w:val="00070F69"/>
    <w:rsid w:val="00077149"/>
    <w:rsid w:val="000905FA"/>
    <w:rsid w:val="00091516"/>
    <w:rsid w:val="00096641"/>
    <w:rsid w:val="000A0021"/>
    <w:rsid w:val="000C5FDA"/>
    <w:rsid w:val="000D7203"/>
    <w:rsid w:val="000E4620"/>
    <w:rsid w:val="000E6F81"/>
    <w:rsid w:val="000F04F3"/>
    <w:rsid w:val="000F0CE3"/>
    <w:rsid w:val="001013A8"/>
    <w:rsid w:val="00111D8D"/>
    <w:rsid w:val="001132AE"/>
    <w:rsid w:val="00117D27"/>
    <w:rsid w:val="00120B09"/>
    <w:rsid w:val="00130E9D"/>
    <w:rsid w:val="00132276"/>
    <w:rsid w:val="001411F8"/>
    <w:rsid w:val="001473F8"/>
    <w:rsid w:val="001532D2"/>
    <w:rsid w:val="0015497C"/>
    <w:rsid w:val="00167895"/>
    <w:rsid w:val="00174B71"/>
    <w:rsid w:val="0017686D"/>
    <w:rsid w:val="00180602"/>
    <w:rsid w:val="00181D85"/>
    <w:rsid w:val="00192FCB"/>
    <w:rsid w:val="001B73EB"/>
    <w:rsid w:val="001D52F3"/>
    <w:rsid w:val="001D76A9"/>
    <w:rsid w:val="001D7CED"/>
    <w:rsid w:val="001E1D94"/>
    <w:rsid w:val="001E2FE6"/>
    <w:rsid w:val="001E5D76"/>
    <w:rsid w:val="001E72F9"/>
    <w:rsid w:val="001F6B85"/>
    <w:rsid w:val="0020201A"/>
    <w:rsid w:val="00207689"/>
    <w:rsid w:val="0021420A"/>
    <w:rsid w:val="00231003"/>
    <w:rsid w:val="002347C1"/>
    <w:rsid w:val="002350A8"/>
    <w:rsid w:val="0023559B"/>
    <w:rsid w:val="00246003"/>
    <w:rsid w:val="002555ED"/>
    <w:rsid w:val="00266B93"/>
    <w:rsid w:val="00274FB2"/>
    <w:rsid w:val="00280383"/>
    <w:rsid w:val="0028449E"/>
    <w:rsid w:val="002910A2"/>
    <w:rsid w:val="002A5239"/>
    <w:rsid w:val="002A7128"/>
    <w:rsid w:val="002D5191"/>
    <w:rsid w:val="002D58DF"/>
    <w:rsid w:val="002F0D99"/>
    <w:rsid w:val="002F6AF4"/>
    <w:rsid w:val="003129B0"/>
    <w:rsid w:val="00313B40"/>
    <w:rsid w:val="00314E60"/>
    <w:rsid w:val="00317245"/>
    <w:rsid w:val="003220B2"/>
    <w:rsid w:val="00323A79"/>
    <w:rsid w:val="0033093E"/>
    <w:rsid w:val="00332490"/>
    <w:rsid w:val="00333BF1"/>
    <w:rsid w:val="003347E0"/>
    <w:rsid w:val="00335FE3"/>
    <w:rsid w:val="00344A7E"/>
    <w:rsid w:val="00345353"/>
    <w:rsid w:val="00347721"/>
    <w:rsid w:val="0036527E"/>
    <w:rsid w:val="00367D4D"/>
    <w:rsid w:val="003750E8"/>
    <w:rsid w:val="003849DE"/>
    <w:rsid w:val="00390E37"/>
    <w:rsid w:val="00394067"/>
    <w:rsid w:val="003A0D16"/>
    <w:rsid w:val="003A3A58"/>
    <w:rsid w:val="003A55A5"/>
    <w:rsid w:val="003B28F9"/>
    <w:rsid w:val="003C4926"/>
    <w:rsid w:val="003D26A5"/>
    <w:rsid w:val="003D2E90"/>
    <w:rsid w:val="003E460D"/>
    <w:rsid w:val="003E5FD8"/>
    <w:rsid w:val="003F3D02"/>
    <w:rsid w:val="00406574"/>
    <w:rsid w:val="00406D14"/>
    <w:rsid w:val="0041366F"/>
    <w:rsid w:val="00415DAC"/>
    <w:rsid w:val="00421032"/>
    <w:rsid w:val="00421981"/>
    <w:rsid w:val="00421B5F"/>
    <w:rsid w:val="00425530"/>
    <w:rsid w:val="00427E90"/>
    <w:rsid w:val="00433F42"/>
    <w:rsid w:val="0045399D"/>
    <w:rsid w:val="00453E92"/>
    <w:rsid w:val="00460E21"/>
    <w:rsid w:val="004712EC"/>
    <w:rsid w:val="004739C2"/>
    <w:rsid w:val="004833F0"/>
    <w:rsid w:val="0049091D"/>
    <w:rsid w:val="004963FF"/>
    <w:rsid w:val="004A51B5"/>
    <w:rsid w:val="004C3EDD"/>
    <w:rsid w:val="004D0206"/>
    <w:rsid w:val="004E1C2E"/>
    <w:rsid w:val="004E4D3A"/>
    <w:rsid w:val="00521176"/>
    <w:rsid w:val="00521A1E"/>
    <w:rsid w:val="005332D3"/>
    <w:rsid w:val="005341D7"/>
    <w:rsid w:val="00547FEC"/>
    <w:rsid w:val="0055058B"/>
    <w:rsid w:val="00550BB3"/>
    <w:rsid w:val="00555B9F"/>
    <w:rsid w:val="00555FF8"/>
    <w:rsid w:val="005601F6"/>
    <w:rsid w:val="0056363B"/>
    <w:rsid w:val="0057667C"/>
    <w:rsid w:val="0058233E"/>
    <w:rsid w:val="00592F7E"/>
    <w:rsid w:val="00594CEB"/>
    <w:rsid w:val="0059564D"/>
    <w:rsid w:val="00596C69"/>
    <w:rsid w:val="005970FD"/>
    <w:rsid w:val="005973A5"/>
    <w:rsid w:val="005A0FFB"/>
    <w:rsid w:val="005A39A7"/>
    <w:rsid w:val="005A4B96"/>
    <w:rsid w:val="005B1495"/>
    <w:rsid w:val="005C1830"/>
    <w:rsid w:val="005D37C7"/>
    <w:rsid w:val="00605779"/>
    <w:rsid w:val="00607622"/>
    <w:rsid w:val="00612DA0"/>
    <w:rsid w:val="006161CB"/>
    <w:rsid w:val="00621C57"/>
    <w:rsid w:val="00626D43"/>
    <w:rsid w:val="0063069B"/>
    <w:rsid w:val="0064671F"/>
    <w:rsid w:val="00646A79"/>
    <w:rsid w:val="00651E47"/>
    <w:rsid w:val="00665A92"/>
    <w:rsid w:val="00666F36"/>
    <w:rsid w:val="00677223"/>
    <w:rsid w:val="0068576F"/>
    <w:rsid w:val="00695BEC"/>
    <w:rsid w:val="006A17BD"/>
    <w:rsid w:val="006A405A"/>
    <w:rsid w:val="006B5FB6"/>
    <w:rsid w:val="006D644E"/>
    <w:rsid w:val="006E1AA2"/>
    <w:rsid w:val="007003AC"/>
    <w:rsid w:val="00725CCC"/>
    <w:rsid w:val="00735366"/>
    <w:rsid w:val="00742689"/>
    <w:rsid w:val="00744FE5"/>
    <w:rsid w:val="00754CB5"/>
    <w:rsid w:val="0076192C"/>
    <w:rsid w:val="00781C68"/>
    <w:rsid w:val="007879EB"/>
    <w:rsid w:val="00790E1C"/>
    <w:rsid w:val="007B4063"/>
    <w:rsid w:val="007B7574"/>
    <w:rsid w:val="007C10E2"/>
    <w:rsid w:val="007C78FA"/>
    <w:rsid w:val="007D1533"/>
    <w:rsid w:val="007D1C89"/>
    <w:rsid w:val="007D20A1"/>
    <w:rsid w:val="007F7DD9"/>
    <w:rsid w:val="008064E3"/>
    <w:rsid w:val="00810AB1"/>
    <w:rsid w:val="008131A8"/>
    <w:rsid w:val="00813979"/>
    <w:rsid w:val="00816E32"/>
    <w:rsid w:val="00817AF6"/>
    <w:rsid w:val="008223AD"/>
    <w:rsid w:val="00836465"/>
    <w:rsid w:val="00837627"/>
    <w:rsid w:val="008410DF"/>
    <w:rsid w:val="008417A1"/>
    <w:rsid w:val="008425D1"/>
    <w:rsid w:val="00843054"/>
    <w:rsid w:val="00845531"/>
    <w:rsid w:val="008456E3"/>
    <w:rsid w:val="008469C1"/>
    <w:rsid w:val="00855A4A"/>
    <w:rsid w:val="00855E2B"/>
    <w:rsid w:val="00856B12"/>
    <w:rsid w:val="0085737E"/>
    <w:rsid w:val="00860910"/>
    <w:rsid w:val="0086460A"/>
    <w:rsid w:val="00872A40"/>
    <w:rsid w:val="008825FF"/>
    <w:rsid w:val="0089319C"/>
    <w:rsid w:val="008973C4"/>
    <w:rsid w:val="008B2B69"/>
    <w:rsid w:val="008C1A5A"/>
    <w:rsid w:val="008C56BE"/>
    <w:rsid w:val="008C70D7"/>
    <w:rsid w:val="008D79D2"/>
    <w:rsid w:val="008E2DD3"/>
    <w:rsid w:val="008E5242"/>
    <w:rsid w:val="008F74F9"/>
    <w:rsid w:val="0090047C"/>
    <w:rsid w:val="00903214"/>
    <w:rsid w:val="0090399B"/>
    <w:rsid w:val="00917846"/>
    <w:rsid w:val="00917A45"/>
    <w:rsid w:val="0092082E"/>
    <w:rsid w:val="009305EA"/>
    <w:rsid w:val="00931DA2"/>
    <w:rsid w:val="00937B91"/>
    <w:rsid w:val="009426D5"/>
    <w:rsid w:val="0095205D"/>
    <w:rsid w:val="0095329E"/>
    <w:rsid w:val="0096186F"/>
    <w:rsid w:val="00962FB2"/>
    <w:rsid w:val="0097084B"/>
    <w:rsid w:val="00972AE0"/>
    <w:rsid w:val="00977485"/>
    <w:rsid w:val="00982C69"/>
    <w:rsid w:val="00991D7E"/>
    <w:rsid w:val="00995CD8"/>
    <w:rsid w:val="009A68F0"/>
    <w:rsid w:val="009B3102"/>
    <w:rsid w:val="009B5FB0"/>
    <w:rsid w:val="009B6576"/>
    <w:rsid w:val="009C7E3C"/>
    <w:rsid w:val="009D18DD"/>
    <w:rsid w:val="009D6CFD"/>
    <w:rsid w:val="009E2082"/>
    <w:rsid w:val="009F55F2"/>
    <w:rsid w:val="00A026CF"/>
    <w:rsid w:val="00A032F2"/>
    <w:rsid w:val="00A04CC6"/>
    <w:rsid w:val="00A20453"/>
    <w:rsid w:val="00A32CB6"/>
    <w:rsid w:val="00A460D6"/>
    <w:rsid w:val="00A733E9"/>
    <w:rsid w:val="00A812C7"/>
    <w:rsid w:val="00A8500D"/>
    <w:rsid w:val="00A9486B"/>
    <w:rsid w:val="00A9620F"/>
    <w:rsid w:val="00AC0F80"/>
    <w:rsid w:val="00AC419E"/>
    <w:rsid w:val="00AC6C61"/>
    <w:rsid w:val="00AC78EF"/>
    <w:rsid w:val="00AD26A7"/>
    <w:rsid w:val="00AD4BBA"/>
    <w:rsid w:val="00AD65F0"/>
    <w:rsid w:val="00AF1B02"/>
    <w:rsid w:val="00AF26DF"/>
    <w:rsid w:val="00B00A26"/>
    <w:rsid w:val="00B10AD5"/>
    <w:rsid w:val="00B14AF1"/>
    <w:rsid w:val="00B235FB"/>
    <w:rsid w:val="00B24583"/>
    <w:rsid w:val="00B33B50"/>
    <w:rsid w:val="00B35479"/>
    <w:rsid w:val="00B365F3"/>
    <w:rsid w:val="00B368D3"/>
    <w:rsid w:val="00B406B1"/>
    <w:rsid w:val="00B43A31"/>
    <w:rsid w:val="00B44CE4"/>
    <w:rsid w:val="00B53737"/>
    <w:rsid w:val="00B806A0"/>
    <w:rsid w:val="00BA0054"/>
    <w:rsid w:val="00BA478B"/>
    <w:rsid w:val="00BB2C63"/>
    <w:rsid w:val="00BE6819"/>
    <w:rsid w:val="00BF2696"/>
    <w:rsid w:val="00C016E2"/>
    <w:rsid w:val="00C043E1"/>
    <w:rsid w:val="00C310AF"/>
    <w:rsid w:val="00C33A75"/>
    <w:rsid w:val="00C47661"/>
    <w:rsid w:val="00C62406"/>
    <w:rsid w:val="00C77EA9"/>
    <w:rsid w:val="00C800E4"/>
    <w:rsid w:val="00C86F03"/>
    <w:rsid w:val="00C9361F"/>
    <w:rsid w:val="00C948AD"/>
    <w:rsid w:val="00C9563F"/>
    <w:rsid w:val="00CA28B1"/>
    <w:rsid w:val="00CA7167"/>
    <w:rsid w:val="00CB0186"/>
    <w:rsid w:val="00CB0EB3"/>
    <w:rsid w:val="00CB3C52"/>
    <w:rsid w:val="00CB3EEB"/>
    <w:rsid w:val="00CB502D"/>
    <w:rsid w:val="00CB50EF"/>
    <w:rsid w:val="00CB5226"/>
    <w:rsid w:val="00CB6AA9"/>
    <w:rsid w:val="00CC2EDB"/>
    <w:rsid w:val="00CC5881"/>
    <w:rsid w:val="00CC6F84"/>
    <w:rsid w:val="00CD284C"/>
    <w:rsid w:val="00CD3010"/>
    <w:rsid w:val="00CD760B"/>
    <w:rsid w:val="00CE076C"/>
    <w:rsid w:val="00CE143B"/>
    <w:rsid w:val="00CE4CD3"/>
    <w:rsid w:val="00CF54D3"/>
    <w:rsid w:val="00D02464"/>
    <w:rsid w:val="00D026D4"/>
    <w:rsid w:val="00D05497"/>
    <w:rsid w:val="00D13CE7"/>
    <w:rsid w:val="00D203C8"/>
    <w:rsid w:val="00D31EBD"/>
    <w:rsid w:val="00D434F8"/>
    <w:rsid w:val="00D44100"/>
    <w:rsid w:val="00D46A33"/>
    <w:rsid w:val="00D70729"/>
    <w:rsid w:val="00D71DB7"/>
    <w:rsid w:val="00D776E2"/>
    <w:rsid w:val="00D81BC7"/>
    <w:rsid w:val="00D82CCE"/>
    <w:rsid w:val="00D905F3"/>
    <w:rsid w:val="00D90C88"/>
    <w:rsid w:val="00D92121"/>
    <w:rsid w:val="00DA1A15"/>
    <w:rsid w:val="00DB0DC6"/>
    <w:rsid w:val="00DD77B4"/>
    <w:rsid w:val="00DE046A"/>
    <w:rsid w:val="00DE0B3B"/>
    <w:rsid w:val="00DE686F"/>
    <w:rsid w:val="00DF055E"/>
    <w:rsid w:val="00DF1F76"/>
    <w:rsid w:val="00DF7A5B"/>
    <w:rsid w:val="00E03666"/>
    <w:rsid w:val="00E12D8F"/>
    <w:rsid w:val="00E13AF0"/>
    <w:rsid w:val="00E14863"/>
    <w:rsid w:val="00E16418"/>
    <w:rsid w:val="00E16F01"/>
    <w:rsid w:val="00E33514"/>
    <w:rsid w:val="00E33C1C"/>
    <w:rsid w:val="00E54C45"/>
    <w:rsid w:val="00E64CC3"/>
    <w:rsid w:val="00E74960"/>
    <w:rsid w:val="00E82D8B"/>
    <w:rsid w:val="00E9725B"/>
    <w:rsid w:val="00EB1F89"/>
    <w:rsid w:val="00EB25EA"/>
    <w:rsid w:val="00EB727D"/>
    <w:rsid w:val="00EC72A4"/>
    <w:rsid w:val="00ED2A39"/>
    <w:rsid w:val="00ED323B"/>
    <w:rsid w:val="00EE303C"/>
    <w:rsid w:val="00EE3B16"/>
    <w:rsid w:val="00EF62B4"/>
    <w:rsid w:val="00F0486F"/>
    <w:rsid w:val="00F06837"/>
    <w:rsid w:val="00F15E4C"/>
    <w:rsid w:val="00F16CEE"/>
    <w:rsid w:val="00F21CFC"/>
    <w:rsid w:val="00F24355"/>
    <w:rsid w:val="00F27C1F"/>
    <w:rsid w:val="00F3216F"/>
    <w:rsid w:val="00F33636"/>
    <w:rsid w:val="00F40BE6"/>
    <w:rsid w:val="00F50635"/>
    <w:rsid w:val="00F55B9A"/>
    <w:rsid w:val="00F562CC"/>
    <w:rsid w:val="00F56B7F"/>
    <w:rsid w:val="00F63E0E"/>
    <w:rsid w:val="00F726CB"/>
    <w:rsid w:val="00F72BFC"/>
    <w:rsid w:val="00F90702"/>
    <w:rsid w:val="00F92880"/>
    <w:rsid w:val="00FA1305"/>
    <w:rsid w:val="00FA1756"/>
    <w:rsid w:val="00FA3DA6"/>
    <w:rsid w:val="00FA7256"/>
    <w:rsid w:val="00FB6EB6"/>
    <w:rsid w:val="00FC0A3D"/>
    <w:rsid w:val="00FD0BE3"/>
    <w:rsid w:val="00FD3903"/>
    <w:rsid w:val="00FD6E04"/>
    <w:rsid w:val="00FD7AED"/>
    <w:rsid w:val="00FE4E57"/>
    <w:rsid w:val="00FF4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0BE4"/>
  <w15:chartTrackingRefBased/>
  <w15:docId w15:val="{A566A1C1-085E-46F7-B3F6-410FC74B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460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6003"/>
    <w:rPr>
      <w:sz w:val="20"/>
      <w:szCs w:val="20"/>
    </w:rPr>
  </w:style>
  <w:style w:type="character" w:styleId="FootnoteReference">
    <w:name w:val="footnote reference"/>
    <w:basedOn w:val="DefaultParagraphFont"/>
    <w:uiPriority w:val="99"/>
    <w:semiHidden/>
    <w:unhideWhenUsed/>
    <w:rsid w:val="00246003"/>
    <w:rPr>
      <w:vertAlign w:val="superscript"/>
    </w:rPr>
  </w:style>
  <w:style w:type="table" w:styleId="TableGrid">
    <w:name w:val="Table Grid"/>
    <w:basedOn w:val="TableNormal"/>
    <w:uiPriority w:val="39"/>
    <w:rsid w:val="00415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7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128"/>
  </w:style>
  <w:style w:type="paragraph" w:styleId="Footer">
    <w:name w:val="footer"/>
    <w:basedOn w:val="Normal"/>
    <w:link w:val="FooterChar"/>
    <w:uiPriority w:val="99"/>
    <w:unhideWhenUsed/>
    <w:rsid w:val="002A7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128"/>
  </w:style>
  <w:style w:type="paragraph" w:styleId="ListParagraph">
    <w:name w:val="List Paragraph"/>
    <w:basedOn w:val="Normal"/>
    <w:uiPriority w:val="34"/>
    <w:qFormat/>
    <w:rsid w:val="000659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444563">
      <w:bodyDiv w:val="1"/>
      <w:marLeft w:val="0"/>
      <w:marRight w:val="0"/>
      <w:marTop w:val="0"/>
      <w:marBottom w:val="0"/>
      <w:divBdr>
        <w:top w:val="none" w:sz="0" w:space="0" w:color="auto"/>
        <w:left w:val="none" w:sz="0" w:space="0" w:color="auto"/>
        <w:bottom w:val="none" w:sz="0" w:space="0" w:color="auto"/>
        <w:right w:val="none" w:sz="0" w:space="0" w:color="auto"/>
      </w:divBdr>
    </w:div>
    <w:div w:id="437258623">
      <w:bodyDiv w:val="1"/>
      <w:marLeft w:val="0"/>
      <w:marRight w:val="0"/>
      <w:marTop w:val="0"/>
      <w:marBottom w:val="0"/>
      <w:divBdr>
        <w:top w:val="none" w:sz="0" w:space="0" w:color="auto"/>
        <w:left w:val="none" w:sz="0" w:space="0" w:color="auto"/>
        <w:bottom w:val="none" w:sz="0" w:space="0" w:color="auto"/>
        <w:right w:val="none" w:sz="0" w:space="0" w:color="auto"/>
      </w:divBdr>
    </w:div>
    <w:div w:id="513343676">
      <w:bodyDiv w:val="1"/>
      <w:marLeft w:val="0"/>
      <w:marRight w:val="0"/>
      <w:marTop w:val="0"/>
      <w:marBottom w:val="0"/>
      <w:divBdr>
        <w:top w:val="none" w:sz="0" w:space="0" w:color="auto"/>
        <w:left w:val="none" w:sz="0" w:space="0" w:color="auto"/>
        <w:bottom w:val="none" w:sz="0" w:space="0" w:color="auto"/>
        <w:right w:val="none" w:sz="0" w:space="0" w:color="auto"/>
      </w:divBdr>
    </w:div>
    <w:div w:id="558520004">
      <w:bodyDiv w:val="1"/>
      <w:marLeft w:val="0"/>
      <w:marRight w:val="0"/>
      <w:marTop w:val="0"/>
      <w:marBottom w:val="0"/>
      <w:divBdr>
        <w:top w:val="none" w:sz="0" w:space="0" w:color="auto"/>
        <w:left w:val="none" w:sz="0" w:space="0" w:color="auto"/>
        <w:bottom w:val="none" w:sz="0" w:space="0" w:color="auto"/>
        <w:right w:val="none" w:sz="0" w:space="0" w:color="auto"/>
      </w:divBdr>
    </w:div>
    <w:div w:id="113202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76408-C56B-43BE-A11B-73D850499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Marquez, Guadalupe</dc:creator>
  <cp:keywords/>
  <dc:description/>
  <cp:lastModifiedBy>Marquez, Guadalupe</cp:lastModifiedBy>
  <cp:revision>16</cp:revision>
  <cp:lastPrinted>2025-05-29T19:40:00Z</cp:lastPrinted>
  <dcterms:created xsi:type="dcterms:W3CDTF">2026-01-15T19:42:00Z</dcterms:created>
  <dcterms:modified xsi:type="dcterms:W3CDTF">2026-01-15T21:40:00Z</dcterms:modified>
</cp:coreProperties>
</file>